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4A" w:rsidRDefault="00E6179D" w:rsidP="00E6179D">
      <w:pPr>
        <w:spacing w:after="0" w:line="360" w:lineRule="auto"/>
        <w:jc w:val="both"/>
        <w:rPr>
          <w:rFonts w:ascii="Palatino Linotype" w:hAnsi="Palatino Linotype" w:cs="Arial"/>
          <w:b/>
          <w:bCs/>
          <w:sz w:val="23"/>
          <w:szCs w:val="23"/>
        </w:rPr>
      </w:pPr>
      <w:bookmarkStart w:id="0" w:name="_GoBack"/>
      <w:bookmarkEnd w:id="0"/>
      <w:r w:rsidRPr="00427B79">
        <w:rPr>
          <w:rFonts w:ascii="Palatino Linotype" w:eastAsia="Calibri" w:hAnsi="Palatino Linotype" w:cs="Arial"/>
          <w:b/>
          <w:sz w:val="24"/>
          <w:szCs w:val="24"/>
        </w:rPr>
        <w:t>VOTO PARTICULAR DEL COMISIONADO JOSÉ GUADALUPE LUNA HERNÁNDEZ EN EL RECURSO DE REVISIÓN</w:t>
      </w:r>
      <w:r w:rsidR="00EF3EA6">
        <w:rPr>
          <w:rFonts w:ascii="Palatino Linotype" w:eastAsia="Calibri" w:hAnsi="Palatino Linotype" w:cs="Arial"/>
          <w:b/>
          <w:sz w:val="24"/>
          <w:szCs w:val="24"/>
        </w:rPr>
        <w:t xml:space="preserve"> </w:t>
      </w:r>
      <w:r w:rsidR="0032240B">
        <w:rPr>
          <w:rFonts w:ascii="Palatino Linotype" w:hAnsi="Palatino Linotype" w:cs="Arial"/>
          <w:b/>
          <w:bCs/>
          <w:sz w:val="23"/>
          <w:szCs w:val="23"/>
        </w:rPr>
        <w:t>0</w:t>
      </w:r>
      <w:r w:rsidR="00F05B63">
        <w:rPr>
          <w:rFonts w:ascii="Palatino Linotype" w:hAnsi="Palatino Linotype" w:cs="Arial"/>
          <w:b/>
          <w:bCs/>
          <w:sz w:val="23"/>
          <w:szCs w:val="23"/>
        </w:rPr>
        <w:t>4795</w:t>
      </w:r>
      <w:r w:rsidR="00D37ED5">
        <w:rPr>
          <w:rFonts w:ascii="Palatino Linotype" w:hAnsi="Palatino Linotype" w:cs="Arial"/>
          <w:b/>
          <w:bCs/>
          <w:sz w:val="23"/>
          <w:szCs w:val="23"/>
        </w:rPr>
        <w:t>/INFOEM/IP/RR/2018.</w:t>
      </w:r>
    </w:p>
    <w:p w:rsidR="00436541" w:rsidRDefault="00436541" w:rsidP="00E6179D">
      <w:pPr>
        <w:spacing w:after="0" w:line="360" w:lineRule="auto"/>
        <w:jc w:val="both"/>
        <w:rPr>
          <w:rFonts w:ascii="Palatino Linotype" w:eastAsia="Calibri" w:hAnsi="Palatino Linotype" w:cs="Arial"/>
          <w:b/>
          <w:sz w:val="24"/>
          <w:szCs w:val="24"/>
        </w:rPr>
      </w:pPr>
    </w:p>
    <w:p w:rsidR="00E6179D" w:rsidRPr="00427B79" w:rsidRDefault="00E6179D" w:rsidP="00E6179D">
      <w:pPr>
        <w:spacing w:after="0" w:line="360" w:lineRule="auto"/>
        <w:jc w:val="both"/>
        <w:rPr>
          <w:rFonts w:ascii="Palatino Linotype" w:eastAsia="Calibri" w:hAnsi="Palatino Linotype" w:cs="Arial"/>
          <w:sz w:val="24"/>
          <w:szCs w:val="24"/>
        </w:rPr>
      </w:pPr>
      <w:r w:rsidRPr="00427B79">
        <w:rPr>
          <w:rFonts w:ascii="Palatino Linotype" w:eastAsia="Calibri" w:hAnsi="Palatino Linotype" w:cs="Arial"/>
          <w:b/>
          <w:sz w:val="24"/>
          <w:szCs w:val="24"/>
        </w:rPr>
        <w:t>Resumen del voto:</w:t>
      </w:r>
      <w:r w:rsidRPr="00427B79">
        <w:rPr>
          <w:rFonts w:ascii="Palatino Linotype" w:eastAsia="Calibri" w:hAnsi="Palatino Linotype" w:cs="Arial"/>
          <w:sz w:val="24"/>
          <w:szCs w:val="24"/>
        </w:rPr>
        <w:t xml:space="preserve"> Los pronunciamientos simples que realicen los Sujetos Obligados, deben estar debidamente motivados, debiendo explicar de manera clara y precisa las causas por las que no se cuenta con la </w:t>
      </w:r>
      <w:r w:rsidR="00D37ED5">
        <w:rPr>
          <w:rFonts w:ascii="Palatino Linotype" w:eastAsia="Calibri" w:hAnsi="Palatino Linotype" w:cs="Arial"/>
          <w:sz w:val="24"/>
          <w:szCs w:val="24"/>
        </w:rPr>
        <w:t xml:space="preserve">información requerida, a efecto </w:t>
      </w:r>
      <w:r w:rsidRPr="00427B79">
        <w:rPr>
          <w:rFonts w:ascii="Palatino Linotype" w:eastAsia="Calibri" w:hAnsi="Palatino Linotype" w:cs="Arial"/>
          <w:sz w:val="24"/>
          <w:szCs w:val="24"/>
        </w:rPr>
        <w:t>de brindar certeza jurídica de la omisión a la entrega de la información por no poseer, generar o administrar lo solicitado.</w:t>
      </w:r>
    </w:p>
    <w:p w:rsidR="00E6179D" w:rsidRPr="00427B79" w:rsidRDefault="00E6179D" w:rsidP="00E6179D">
      <w:pPr>
        <w:spacing w:after="0" w:line="360" w:lineRule="auto"/>
        <w:jc w:val="both"/>
        <w:rPr>
          <w:rFonts w:ascii="Palatino Linotype" w:eastAsia="Calibri" w:hAnsi="Palatino Linotype" w:cs="Arial"/>
          <w:sz w:val="24"/>
          <w:szCs w:val="24"/>
        </w:rPr>
      </w:pPr>
    </w:p>
    <w:p w:rsidR="00E6179D" w:rsidRPr="00835C8D" w:rsidRDefault="00E6179D" w:rsidP="00B73B30">
      <w:pPr>
        <w:pStyle w:val="TtulodeTDC"/>
        <w:spacing w:line="360" w:lineRule="auto"/>
        <w:rPr>
          <w:rFonts w:cs="Arial"/>
          <w:b w:val="0"/>
          <w:color w:val="auto"/>
          <w:szCs w:val="24"/>
        </w:rPr>
      </w:pPr>
      <w:r w:rsidRPr="00835C8D">
        <w:rPr>
          <w:rFonts w:cs="Arial"/>
          <w:color w:val="auto"/>
          <w:szCs w:val="24"/>
        </w:rPr>
        <w:t>Índice</w:t>
      </w:r>
      <w:r w:rsidR="00B73B30">
        <w:rPr>
          <w:rFonts w:cs="Arial"/>
          <w:color w:val="auto"/>
          <w:szCs w:val="24"/>
        </w:rPr>
        <w:t>.</w:t>
      </w:r>
    </w:p>
    <w:sdt>
      <w:sdtPr>
        <w:rPr>
          <w:rFonts w:asciiTheme="minorHAnsi" w:hAnsiTheme="minorHAnsi"/>
          <w:b w:val="0"/>
          <w:noProof w:val="0"/>
          <w:sz w:val="24"/>
          <w:szCs w:val="24"/>
          <w:lang w:val="es-ES"/>
        </w:rPr>
        <w:id w:val="-1628690016"/>
        <w:docPartObj>
          <w:docPartGallery w:val="Table of Contents"/>
          <w:docPartUnique/>
        </w:docPartObj>
      </w:sdtPr>
      <w:sdtEndPr>
        <w:rPr>
          <w:rFonts w:ascii="Palatino Linotype" w:hAnsi="Palatino Linotype"/>
          <w:b/>
          <w:bCs/>
        </w:rPr>
      </w:sdtEndPr>
      <w:sdtContent>
        <w:p w:rsidR="008461BC" w:rsidRPr="008461BC" w:rsidRDefault="00E6179D">
          <w:pPr>
            <w:pStyle w:val="TDC1"/>
            <w:rPr>
              <w:rFonts w:asciiTheme="minorHAnsi" w:eastAsiaTheme="minorEastAsia" w:hAnsiTheme="minorHAnsi"/>
              <w:b w:val="0"/>
              <w:sz w:val="24"/>
              <w:szCs w:val="24"/>
              <w:lang w:eastAsia="es-MX"/>
            </w:rPr>
          </w:pPr>
          <w:r w:rsidRPr="00017704">
            <w:rPr>
              <w:sz w:val="24"/>
              <w:szCs w:val="24"/>
            </w:rPr>
            <w:fldChar w:fldCharType="begin"/>
          </w:r>
          <w:r w:rsidRPr="00017704">
            <w:rPr>
              <w:sz w:val="24"/>
              <w:szCs w:val="24"/>
            </w:rPr>
            <w:instrText xml:space="preserve"> TOC \o "1-3" \h \z \u </w:instrText>
          </w:r>
          <w:r w:rsidRPr="00017704">
            <w:rPr>
              <w:sz w:val="24"/>
              <w:szCs w:val="24"/>
            </w:rPr>
            <w:fldChar w:fldCharType="separate"/>
          </w:r>
          <w:hyperlink w:anchor="_Toc2634148" w:history="1">
            <w:r w:rsidR="008461BC" w:rsidRPr="008461BC">
              <w:rPr>
                <w:rStyle w:val="Hipervnculo"/>
                <w:rFonts w:eastAsia="Times New Roman"/>
                <w:sz w:val="24"/>
                <w:szCs w:val="24"/>
              </w:rPr>
              <w:t>I.</w:t>
            </w:r>
            <w:r w:rsidR="008461BC" w:rsidRPr="008461BC">
              <w:rPr>
                <w:rFonts w:asciiTheme="minorHAnsi" w:eastAsiaTheme="minorEastAsia" w:hAnsiTheme="minorHAnsi"/>
                <w:b w:val="0"/>
                <w:sz w:val="24"/>
                <w:szCs w:val="24"/>
                <w:lang w:eastAsia="es-MX"/>
              </w:rPr>
              <w:tab/>
            </w:r>
            <w:r w:rsidR="008461BC" w:rsidRPr="008461BC">
              <w:rPr>
                <w:rStyle w:val="Hipervnculo"/>
                <w:rFonts w:eastAsia="Times New Roman"/>
                <w:sz w:val="24"/>
                <w:szCs w:val="24"/>
              </w:rPr>
              <w:t>Consideraciones Generales</w:t>
            </w:r>
            <w:r w:rsidR="008461BC" w:rsidRPr="008461BC">
              <w:rPr>
                <w:webHidden/>
                <w:sz w:val="24"/>
                <w:szCs w:val="24"/>
              </w:rPr>
              <w:tab/>
            </w:r>
            <w:r w:rsidR="008461BC" w:rsidRPr="008461BC">
              <w:rPr>
                <w:webHidden/>
                <w:sz w:val="24"/>
                <w:szCs w:val="24"/>
              </w:rPr>
              <w:fldChar w:fldCharType="begin"/>
            </w:r>
            <w:r w:rsidR="008461BC" w:rsidRPr="008461BC">
              <w:rPr>
                <w:webHidden/>
                <w:sz w:val="24"/>
                <w:szCs w:val="24"/>
              </w:rPr>
              <w:instrText xml:space="preserve"> PAGEREF _Toc2634148 \h </w:instrText>
            </w:r>
            <w:r w:rsidR="008461BC" w:rsidRPr="008461BC">
              <w:rPr>
                <w:webHidden/>
                <w:sz w:val="24"/>
                <w:szCs w:val="24"/>
              </w:rPr>
            </w:r>
            <w:r w:rsidR="008461BC" w:rsidRPr="008461BC">
              <w:rPr>
                <w:webHidden/>
                <w:sz w:val="24"/>
                <w:szCs w:val="24"/>
              </w:rPr>
              <w:fldChar w:fldCharType="separate"/>
            </w:r>
            <w:r w:rsidR="00A554F5">
              <w:rPr>
                <w:webHidden/>
                <w:sz w:val="24"/>
                <w:szCs w:val="24"/>
              </w:rPr>
              <w:t>1</w:t>
            </w:r>
            <w:r w:rsidR="008461BC" w:rsidRPr="008461BC">
              <w:rPr>
                <w:webHidden/>
                <w:sz w:val="24"/>
                <w:szCs w:val="24"/>
              </w:rPr>
              <w:fldChar w:fldCharType="end"/>
            </w:r>
          </w:hyperlink>
        </w:p>
        <w:p w:rsidR="008461BC" w:rsidRPr="008461BC" w:rsidRDefault="00F96FD0">
          <w:pPr>
            <w:pStyle w:val="TDC1"/>
            <w:rPr>
              <w:rFonts w:asciiTheme="minorHAnsi" w:eastAsiaTheme="minorEastAsia" w:hAnsiTheme="minorHAnsi"/>
              <w:b w:val="0"/>
              <w:sz w:val="24"/>
              <w:szCs w:val="24"/>
              <w:lang w:eastAsia="es-MX"/>
            </w:rPr>
          </w:pPr>
          <w:hyperlink w:anchor="_Toc2634149" w:history="1">
            <w:r w:rsidR="008461BC" w:rsidRPr="008461BC">
              <w:rPr>
                <w:rStyle w:val="Hipervnculo"/>
                <w:rFonts w:eastAsia="Calibri"/>
                <w:sz w:val="24"/>
                <w:szCs w:val="24"/>
                <w:lang w:val="es-ES"/>
              </w:rPr>
              <w:t>II.</w:t>
            </w:r>
            <w:r w:rsidR="008461BC" w:rsidRPr="008461BC">
              <w:rPr>
                <w:rFonts w:asciiTheme="minorHAnsi" w:eastAsiaTheme="minorEastAsia" w:hAnsiTheme="minorHAnsi"/>
                <w:b w:val="0"/>
                <w:sz w:val="24"/>
                <w:szCs w:val="24"/>
                <w:lang w:eastAsia="es-MX"/>
              </w:rPr>
              <w:tab/>
            </w:r>
            <w:r w:rsidR="008461BC" w:rsidRPr="008461BC">
              <w:rPr>
                <w:rStyle w:val="Hipervnculo"/>
                <w:rFonts w:eastAsia="Calibri"/>
                <w:sz w:val="24"/>
                <w:szCs w:val="24"/>
                <w:lang w:val="es-ES"/>
              </w:rPr>
              <w:t>De los requerimientos planteados en el recurso de revisión.</w:t>
            </w:r>
            <w:r w:rsidR="008461BC" w:rsidRPr="008461BC">
              <w:rPr>
                <w:webHidden/>
                <w:sz w:val="24"/>
                <w:szCs w:val="24"/>
              </w:rPr>
              <w:tab/>
            </w:r>
            <w:r w:rsidR="008461BC" w:rsidRPr="008461BC">
              <w:rPr>
                <w:webHidden/>
                <w:sz w:val="24"/>
                <w:szCs w:val="24"/>
              </w:rPr>
              <w:fldChar w:fldCharType="begin"/>
            </w:r>
            <w:r w:rsidR="008461BC" w:rsidRPr="008461BC">
              <w:rPr>
                <w:webHidden/>
                <w:sz w:val="24"/>
                <w:szCs w:val="24"/>
              </w:rPr>
              <w:instrText xml:space="preserve"> PAGEREF _Toc2634149 \h </w:instrText>
            </w:r>
            <w:r w:rsidR="008461BC" w:rsidRPr="008461BC">
              <w:rPr>
                <w:webHidden/>
                <w:sz w:val="24"/>
                <w:szCs w:val="24"/>
              </w:rPr>
            </w:r>
            <w:r w:rsidR="008461BC" w:rsidRPr="008461BC">
              <w:rPr>
                <w:webHidden/>
                <w:sz w:val="24"/>
                <w:szCs w:val="24"/>
              </w:rPr>
              <w:fldChar w:fldCharType="separate"/>
            </w:r>
            <w:r w:rsidR="00A554F5">
              <w:rPr>
                <w:webHidden/>
                <w:sz w:val="24"/>
                <w:szCs w:val="24"/>
              </w:rPr>
              <w:t>2</w:t>
            </w:r>
            <w:r w:rsidR="008461BC" w:rsidRPr="008461BC">
              <w:rPr>
                <w:webHidden/>
                <w:sz w:val="24"/>
                <w:szCs w:val="24"/>
              </w:rPr>
              <w:fldChar w:fldCharType="end"/>
            </w:r>
          </w:hyperlink>
        </w:p>
        <w:p w:rsidR="008461BC" w:rsidRPr="008461BC" w:rsidRDefault="00F96FD0">
          <w:pPr>
            <w:pStyle w:val="TDC2"/>
            <w:rPr>
              <w:rFonts w:asciiTheme="minorHAnsi" w:eastAsiaTheme="minorEastAsia" w:hAnsiTheme="minorHAnsi"/>
              <w:b w:val="0"/>
              <w:lang w:eastAsia="es-MX"/>
            </w:rPr>
          </w:pPr>
          <w:hyperlink w:anchor="_Toc2634150" w:history="1">
            <w:r w:rsidR="008461BC" w:rsidRPr="008461BC">
              <w:rPr>
                <w:rStyle w:val="Hipervnculo"/>
              </w:rPr>
              <w:t>III. Del Derecho de Acceso a la información pública y el deber de motivar.</w:t>
            </w:r>
            <w:r w:rsidR="008461BC" w:rsidRPr="008461BC">
              <w:rPr>
                <w:webHidden/>
              </w:rPr>
              <w:tab/>
            </w:r>
            <w:r w:rsidR="008461BC" w:rsidRPr="008461BC">
              <w:rPr>
                <w:webHidden/>
              </w:rPr>
              <w:fldChar w:fldCharType="begin"/>
            </w:r>
            <w:r w:rsidR="008461BC" w:rsidRPr="008461BC">
              <w:rPr>
                <w:webHidden/>
              </w:rPr>
              <w:instrText xml:space="preserve"> PAGEREF _Toc2634150 \h </w:instrText>
            </w:r>
            <w:r w:rsidR="008461BC" w:rsidRPr="008461BC">
              <w:rPr>
                <w:webHidden/>
              </w:rPr>
            </w:r>
            <w:r w:rsidR="008461BC" w:rsidRPr="008461BC">
              <w:rPr>
                <w:webHidden/>
              </w:rPr>
              <w:fldChar w:fldCharType="separate"/>
            </w:r>
            <w:r w:rsidR="00A554F5">
              <w:rPr>
                <w:webHidden/>
              </w:rPr>
              <w:t>14</w:t>
            </w:r>
            <w:r w:rsidR="008461BC" w:rsidRPr="008461BC">
              <w:rPr>
                <w:webHidden/>
              </w:rPr>
              <w:fldChar w:fldCharType="end"/>
            </w:r>
          </w:hyperlink>
        </w:p>
        <w:p w:rsidR="008461BC" w:rsidRPr="008461BC" w:rsidRDefault="00F96FD0">
          <w:pPr>
            <w:pStyle w:val="TDC1"/>
            <w:rPr>
              <w:rFonts w:asciiTheme="minorHAnsi" w:eastAsiaTheme="minorEastAsia" w:hAnsiTheme="minorHAnsi"/>
              <w:b w:val="0"/>
              <w:sz w:val="24"/>
              <w:szCs w:val="24"/>
              <w:lang w:eastAsia="es-MX"/>
            </w:rPr>
          </w:pPr>
          <w:hyperlink w:anchor="_Toc2634151" w:history="1">
            <w:r w:rsidR="008461BC" w:rsidRPr="008461BC">
              <w:rPr>
                <w:rStyle w:val="Hipervnculo"/>
                <w:rFonts w:eastAsia="Calibri"/>
                <w:sz w:val="24"/>
                <w:szCs w:val="24"/>
              </w:rPr>
              <w:t>IV. Del Pronunciamiento simple</w:t>
            </w:r>
            <w:r w:rsidR="008461BC" w:rsidRPr="008461BC">
              <w:rPr>
                <w:webHidden/>
                <w:sz w:val="24"/>
                <w:szCs w:val="24"/>
              </w:rPr>
              <w:tab/>
            </w:r>
            <w:r w:rsidR="008461BC" w:rsidRPr="008461BC">
              <w:rPr>
                <w:webHidden/>
                <w:sz w:val="24"/>
                <w:szCs w:val="24"/>
              </w:rPr>
              <w:fldChar w:fldCharType="begin"/>
            </w:r>
            <w:r w:rsidR="008461BC" w:rsidRPr="008461BC">
              <w:rPr>
                <w:webHidden/>
                <w:sz w:val="24"/>
                <w:szCs w:val="24"/>
              </w:rPr>
              <w:instrText xml:space="preserve"> PAGEREF _Toc2634151 \h </w:instrText>
            </w:r>
            <w:r w:rsidR="008461BC" w:rsidRPr="008461BC">
              <w:rPr>
                <w:webHidden/>
                <w:sz w:val="24"/>
                <w:szCs w:val="24"/>
              </w:rPr>
            </w:r>
            <w:r w:rsidR="008461BC" w:rsidRPr="008461BC">
              <w:rPr>
                <w:webHidden/>
                <w:sz w:val="24"/>
                <w:szCs w:val="24"/>
              </w:rPr>
              <w:fldChar w:fldCharType="separate"/>
            </w:r>
            <w:r w:rsidR="00A554F5">
              <w:rPr>
                <w:webHidden/>
                <w:sz w:val="24"/>
                <w:szCs w:val="24"/>
              </w:rPr>
              <w:t>19</w:t>
            </w:r>
            <w:r w:rsidR="008461BC" w:rsidRPr="008461BC">
              <w:rPr>
                <w:webHidden/>
                <w:sz w:val="24"/>
                <w:szCs w:val="24"/>
              </w:rPr>
              <w:fldChar w:fldCharType="end"/>
            </w:r>
          </w:hyperlink>
        </w:p>
        <w:p w:rsidR="008461BC" w:rsidRDefault="00F96FD0">
          <w:pPr>
            <w:pStyle w:val="TDC1"/>
            <w:rPr>
              <w:rFonts w:asciiTheme="minorHAnsi" w:eastAsiaTheme="minorEastAsia" w:hAnsiTheme="minorHAnsi"/>
              <w:b w:val="0"/>
              <w:sz w:val="22"/>
              <w:szCs w:val="22"/>
              <w:lang w:eastAsia="es-MX"/>
            </w:rPr>
          </w:pPr>
          <w:hyperlink w:anchor="_Toc2634152" w:history="1">
            <w:r w:rsidR="008461BC" w:rsidRPr="008461BC">
              <w:rPr>
                <w:rStyle w:val="Hipervnculo"/>
                <w:rFonts w:eastAsia="Calibri"/>
                <w:sz w:val="24"/>
                <w:szCs w:val="24"/>
              </w:rPr>
              <w:t>V. Conclusión.</w:t>
            </w:r>
            <w:r w:rsidR="008461BC" w:rsidRPr="008461BC">
              <w:rPr>
                <w:webHidden/>
                <w:sz w:val="24"/>
                <w:szCs w:val="24"/>
              </w:rPr>
              <w:tab/>
            </w:r>
            <w:r w:rsidR="008461BC" w:rsidRPr="008461BC">
              <w:rPr>
                <w:webHidden/>
                <w:sz w:val="24"/>
                <w:szCs w:val="24"/>
              </w:rPr>
              <w:fldChar w:fldCharType="begin"/>
            </w:r>
            <w:r w:rsidR="008461BC" w:rsidRPr="008461BC">
              <w:rPr>
                <w:webHidden/>
                <w:sz w:val="24"/>
                <w:szCs w:val="24"/>
              </w:rPr>
              <w:instrText xml:space="preserve"> PAGEREF _Toc2634152 \h </w:instrText>
            </w:r>
            <w:r w:rsidR="008461BC" w:rsidRPr="008461BC">
              <w:rPr>
                <w:webHidden/>
                <w:sz w:val="24"/>
                <w:szCs w:val="24"/>
              </w:rPr>
            </w:r>
            <w:r w:rsidR="008461BC" w:rsidRPr="008461BC">
              <w:rPr>
                <w:webHidden/>
                <w:sz w:val="24"/>
                <w:szCs w:val="24"/>
              </w:rPr>
              <w:fldChar w:fldCharType="separate"/>
            </w:r>
            <w:r w:rsidR="00A554F5">
              <w:rPr>
                <w:webHidden/>
                <w:sz w:val="24"/>
                <w:szCs w:val="24"/>
              </w:rPr>
              <w:t>37</w:t>
            </w:r>
            <w:r w:rsidR="008461BC" w:rsidRPr="008461BC">
              <w:rPr>
                <w:webHidden/>
                <w:sz w:val="24"/>
                <w:szCs w:val="24"/>
              </w:rPr>
              <w:fldChar w:fldCharType="end"/>
            </w:r>
          </w:hyperlink>
        </w:p>
        <w:p w:rsidR="00E6179D" w:rsidRPr="00017704" w:rsidRDefault="00E6179D" w:rsidP="00B73B30">
          <w:pPr>
            <w:spacing w:line="360" w:lineRule="auto"/>
            <w:rPr>
              <w:rFonts w:ascii="Palatino Linotype" w:hAnsi="Palatino Linotype"/>
              <w:b/>
              <w:sz w:val="24"/>
              <w:szCs w:val="24"/>
            </w:rPr>
          </w:pPr>
          <w:r w:rsidRPr="00017704">
            <w:rPr>
              <w:rFonts w:ascii="Palatino Linotype" w:hAnsi="Palatino Linotype"/>
              <w:b/>
              <w:bCs/>
              <w:sz w:val="24"/>
              <w:szCs w:val="24"/>
              <w:lang w:val="es-ES"/>
            </w:rPr>
            <w:fldChar w:fldCharType="end"/>
          </w:r>
        </w:p>
      </w:sdtContent>
    </w:sdt>
    <w:p w:rsidR="00E6179D" w:rsidRPr="00427B79" w:rsidRDefault="00E6179D" w:rsidP="00B41044">
      <w:pPr>
        <w:pStyle w:val="Ttulo1"/>
        <w:numPr>
          <w:ilvl w:val="0"/>
          <w:numId w:val="2"/>
        </w:numPr>
        <w:ind w:left="0" w:firstLine="0"/>
        <w:rPr>
          <w:rFonts w:eastAsia="Times New Roman"/>
          <w:color w:val="auto"/>
          <w:szCs w:val="24"/>
        </w:rPr>
      </w:pPr>
      <w:bookmarkStart w:id="1" w:name="_Toc2634148"/>
      <w:r w:rsidRPr="00427B79">
        <w:rPr>
          <w:rFonts w:eastAsia="Times New Roman"/>
          <w:color w:val="auto"/>
          <w:szCs w:val="24"/>
        </w:rPr>
        <w:t>Consideraciones Generales</w:t>
      </w:r>
      <w:bookmarkEnd w:id="1"/>
    </w:p>
    <w:p w:rsidR="0003648B" w:rsidRPr="00427B79" w:rsidRDefault="0003648B" w:rsidP="0003648B">
      <w:pPr>
        <w:pStyle w:val="TDC1"/>
        <w:ind w:left="0"/>
        <w:rPr>
          <w:sz w:val="24"/>
          <w:szCs w:val="24"/>
          <w:lang w:val="es-ES"/>
        </w:rPr>
      </w:pPr>
    </w:p>
    <w:p w:rsidR="00EF3EA6" w:rsidRPr="009F02EB" w:rsidRDefault="00E6179D" w:rsidP="00EF3EA6">
      <w:pPr>
        <w:spacing w:after="0" w:line="360" w:lineRule="auto"/>
        <w:jc w:val="both"/>
        <w:rPr>
          <w:rFonts w:ascii="Palatino Linotype" w:eastAsia="Calibri" w:hAnsi="Palatino Linotype" w:cs="Arial"/>
          <w:b/>
          <w:bCs/>
          <w:sz w:val="24"/>
          <w:szCs w:val="24"/>
          <w:lang w:eastAsia="es-MX"/>
        </w:rPr>
      </w:pPr>
      <w:r w:rsidRPr="009F02EB">
        <w:rPr>
          <w:rFonts w:ascii="Palatino Linotype" w:eastAsia="Times New Roman" w:hAnsi="Palatino Linotype" w:cs="Arial"/>
          <w:sz w:val="24"/>
          <w:szCs w:val="24"/>
          <w:lang w:val="es-ES_tradnl"/>
        </w:rPr>
        <w:t xml:space="preserve">He concurrido con mi voto particular de la presente resolución emitida </w:t>
      </w:r>
      <w:r w:rsidRPr="009F02EB">
        <w:rPr>
          <w:rFonts w:ascii="Palatino Linotype" w:eastAsia="Calibri" w:hAnsi="Palatino Linotype" w:cs="Arial"/>
          <w:sz w:val="24"/>
          <w:szCs w:val="24"/>
        </w:rPr>
        <w:t xml:space="preserve">por el Pleno del Instituto de Transparencia, Acceso a la Información Pública y Protección de Datos Personales del Estado de México y Municipios, en su </w:t>
      </w:r>
      <w:r w:rsidR="00FA571E">
        <w:rPr>
          <w:rFonts w:ascii="Palatino Linotype" w:eastAsia="Calibri" w:hAnsi="Palatino Linotype" w:cs="Arial"/>
          <w:sz w:val="24"/>
          <w:szCs w:val="24"/>
        </w:rPr>
        <w:t>Octava</w:t>
      </w:r>
      <w:r w:rsidR="00F44EAA"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 xml:space="preserve">Sesión Ordinaria celebrada el día </w:t>
      </w:r>
      <w:r w:rsidR="00FA571E">
        <w:rPr>
          <w:rFonts w:ascii="Palatino Linotype" w:eastAsia="Calibri" w:hAnsi="Palatino Linotype" w:cs="Arial"/>
          <w:sz w:val="24"/>
          <w:szCs w:val="24"/>
        </w:rPr>
        <w:t>veintisiete</w:t>
      </w:r>
      <w:r w:rsidRPr="009F02EB">
        <w:rPr>
          <w:rFonts w:ascii="Palatino Linotype" w:eastAsia="Calibri" w:hAnsi="Palatino Linotype" w:cs="Arial"/>
          <w:sz w:val="24"/>
          <w:szCs w:val="24"/>
        </w:rPr>
        <w:t xml:space="preserve"> (</w:t>
      </w:r>
      <w:r w:rsidR="00FA571E">
        <w:rPr>
          <w:rFonts w:ascii="Palatino Linotype" w:eastAsia="Calibri" w:hAnsi="Palatino Linotype" w:cs="Arial"/>
          <w:sz w:val="24"/>
          <w:szCs w:val="24"/>
        </w:rPr>
        <w:t>27</w:t>
      </w:r>
      <w:r w:rsidRPr="009F02EB">
        <w:rPr>
          <w:rFonts w:ascii="Palatino Linotype" w:eastAsia="Calibri" w:hAnsi="Palatino Linotype" w:cs="Arial"/>
          <w:sz w:val="24"/>
          <w:szCs w:val="24"/>
        </w:rPr>
        <w:t xml:space="preserve">) de </w:t>
      </w:r>
      <w:r w:rsidR="00E86F52" w:rsidRPr="009F02EB">
        <w:rPr>
          <w:rFonts w:ascii="Palatino Linotype" w:eastAsia="Calibri" w:hAnsi="Palatino Linotype" w:cs="Arial"/>
          <w:sz w:val="24"/>
          <w:szCs w:val="24"/>
        </w:rPr>
        <w:t>febrero</w:t>
      </w:r>
      <w:r w:rsidR="008825D2"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de</w:t>
      </w:r>
      <w:r w:rsidR="001F0E58" w:rsidRPr="009F02EB">
        <w:rPr>
          <w:rFonts w:ascii="Palatino Linotype" w:eastAsia="Calibri" w:hAnsi="Palatino Linotype" w:cs="Arial"/>
          <w:sz w:val="24"/>
          <w:szCs w:val="24"/>
        </w:rPr>
        <w:t>l</w:t>
      </w:r>
      <w:r w:rsidRPr="009F02EB">
        <w:rPr>
          <w:rFonts w:ascii="Palatino Linotype" w:eastAsia="Calibri" w:hAnsi="Palatino Linotype" w:cs="Arial"/>
          <w:sz w:val="24"/>
          <w:szCs w:val="24"/>
        </w:rPr>
        <w:t xml:space="preserve"> </w:t>
      </w:r>
      <w:r w:rsidR="001F0E58" w:rsidRPr="009F02EB">
        <w:rPr>
          <w:rFonts w:ascii="Palatino Linotype" w:eastAsia="Calibri" w:hAnsi="Palatino Linotype" w:cs="Arial"/>
          <w:sz w:val="24"/>
          <w:szCs w:val="24"/>
        </w:rPr>
        <w:t xml:space="preserve">dos mil </w:t>
      </w:r>
      <w:r w:rsidR="00F44EAA" w:rsidRPr="009F02EB">
        <w:rPr>
          <w:rFonts w:ascii="Palatino Linotype" w:eastAsia="Calibri" w:hAnsi="Palatino Linotype" w:cs="Arial"/>
          <w:sz w:val="24"/>
          <w:szCs w:val="24"/>
        </w:rPr>
        <w:t>diecinueve</w:t>
      </w:r>
      <w:r w:rsidRPr="009F02EB">
        <w:rPr>
          <w:rFonts w:ascii="Palatino Linotype" w:eastAsia="Calibri" w:hAnsi="Palatino Linotype" w:cs="Arial"/>
          <w:sz w:val="24"/>
          <w:szCs w:val="24"/>
        </w:rPr>
        <w:t xml:space="preserve">, en el </w:t>
      </w:r>
      <w:r w:rsidR="005B2060" w:rsidRPr="009F02EB">
        <w:rPr>
          <w:rFonts w:ascii="Palatino Linotype" w:eastAsia="Calibri" w:hAnsi="Palatino Linotype" w:cs="Arial"/>
          <w:sz w:val="24"/>
          <w:szCs w:val="24"/>
        </w:rPr>
        <w:t xml:space="preserve">recurso </w:t>
      </w:r>
      <w:r w:rsidRPr="009F02EB">
        <w:rPr>
          <w:rFonts w:ascii="Palatino Linotype" w:eastAsia="Calibri" w:hAnsi="Palatino Linotype" w:cs="Arial"/>
          <w:sz w:val="24"/>
          <w:szCs w:val="24"/>
        </w:rPr>
        <w:t>de</w:t>
      </w:r>
      <w:r w:rsidR="00D11834"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lastRenderedPageBreak/>
        <w:t>revisión</w:t>
      </w:r>
      <w:r w:rsidR="004E6D94" w:rsidRPr="009F02EB">
        <w:rPr>
          <w:rFonts w:ascii="Palatino Linotype" w:eastAsia="Calibri" w:hAnsi="Palatino Linotype" w:cs="Arial"/>
          <w:sz w:val="24"/>
          <w:szCs w:val="24"/>
        </w:rPr>
        <w:t xml:space="preserve"> </w:t>
      </w:r>
      <w:r w:rsidRPr="009F02EB">
        <w:rPr>
          <w:rFonts w:ascii="Palatino Linotype" w:eastAsia="Calibri" w:hAnsi="Palatino Linotype" w:cs="Arial"/>
          <w:sz w:val="24"/>
          <w:szCs w:val="24"/>
        </w:rPr>
        <w:t>interpuesto po</w:t>
      </w:r>
      <w:r w:rsidR="004C57A6" w:rsidRPr="009F02EB">
        <w:rPr>
          <w:rFonts w:ascii="Palatino Linotype" w:eastAsia="Calibri" w:hAnsi="Palatino Linotype" w:cs="Arial"/>
          <w:sz w:val="24"/>
          <w:szCs w:val="24"/>
        </w:rPr>
        <w:t>r</w:t>
      </w:r>
      <w:r w:rsidR="00436541" w:rsidRPr="009F02EB">
        <w:rPr>
          <w:rFonts w:ascii="Palatino Linotype" w:hAnsi="Palatino Linotype" w:cs="Arial"/>
          <w:b/>
          <w:sz w:val="24"/>
          <w:szCs w:val="24"/>
        </w:rPr>
        <w:t xml:space="preserve"> </w:t>
      </w:r>
      <w:r w:rsidR="00F44EAA" w:rsidRPr="009F02EB">
        <w:rPr>
          <w:rFonts w:ascii="Palatino Linotype" w:hAnsi="Palatino Linotype" w:cs="Arial"/>
          <w:sz w:val="24"/>
          <w:szCs w:val="24"/>
        </w:rPr>
        <w:t>el particular</w:t>
      </w:r>
      <w:r w:rsidR="00F44EAA" w:rsidRPr="009F02EB">
        <w:rPr>
          <w:rFonts w:ascii="Palatino Linotype" w:hAnsi="Palatino Linotype" w:cs="Arial"/>
          <w:b/>
          <w:sz w:val="24"/>
          <w:szCs w:val="24"/>
        </w:rPr>
        <w:t>,</w:t>
      </w:r>
      <w:r w:rsidR="00436541" w:rsidRPr="009F02EB">
        <w:rPr>
          <w:rFonts w:ascii="Palatino Linotype" w:hAnsi="Palatino Linotype"/>
          <w:b/>
          <w:sz w:val="24"/>
          <w:szCs w:val="24"/>
          <w:lang w:val="es-ES_tradnl"/>
        </w:rPr>
        <w:t xml:space="preserve"> </w:t>
      </w:r>
      <w:r w:rsidR="003E0648" w:rsidRPr="009F02EB">
        <w:rPr>
          <w:rFonts w:ascii="Palatino Linotype" w:eastAsia="Calibri" w:hAnsi="Palatino Linotype" w:cs="Arial"/>
          <w:sz w:val="24"/>
          <w:szCs w:val="24"/>
        </w:rPr>
        <w:t>en contra de la respuesta</w:t>
      </w:r>
      <w:r w:rsidR="0036141D" w:rsidRPr="009F02EB">
        <w:rPr>
          <w:rFonts w:ascii="Palatino Linotype" w:eastAsia="Calibri" w:hAnsi="Palatino Linotype" w:cs="Arial"/>
          <w:sz w:val="24"/>
          <w:szCs w:val="24"/>
        </w:rPr>
        <w:t xml:space="preserve"> </w:t>
      </w:r>
      <w:r w:rsidR="00472C78" w:rsidRPr="009F02EB">
        <w:rPr>
          <w:rFonts w:ascii="Palatino Linotype" w:eastAsia="Calibri" w:hAnsi="Palatino Linotype" w:cs="Arial"/>
          <w:sz w:val="24"/>
          <w:szCs w:val="24"/>
        </w:rPr>
        <w:t>de</w:t>
      </w:r>
      <w:r w:rsidR="00F05B63">
        <w:rPr>
          <w:rFonts w:ascii="Palatino Linotype" w:eastAsia="Calibri" w:hAnsi="Palatino Linotype" w:cs="Arial"/>
          <w:sz w:val="24"/>
          <w:szCs w:val="24"/>
        </w:rPr>
        <w:t>l</w:t>
      </w:r>
      <w:r w:rsidR="00F05B63" w:rsidRPr="00F05B63">
        <w:rPr>
          <w:rFonts w:ascii="Palatino Linotype" w:hAnsi="Palatino Linotype" w:cs="Arial"/>
          <w:b/>
          <w:sz w:val="24"/>
          <w:szCs w:val="24"/>
        </w:rPr>
        <w:t xml:space="preserve"> </w:t>
      </w:r>
      <w:r w:rsidR="00F05B63" w:rsidRPr="00A50811">
        <w:rPr>
          <w:rFonts w:ascii="Palatino Linotype" w:hAnsi="Palatino Linotype" w:cs="Arial"/>
          <w:b/>
          <w:sz w:val="24"/>
          <w:szCs w:val="24"/>
        </w:rPr>
        <w:t>Ayuntamiento de Soyaniquilpan de Juárez</w:t>
      </w:r>
      <w:r w:rsidR="00F05B63" w:rsidRPr="0076150E">
        <w:rPr>
          <w:rFonts w:ascii="Palatino Linotype" w:hAnsi="Palatino Linotype" w:cs="Arial"/>
          <w:b/>
          <w:sz w:val="24"/>
          <w:szCs w:val="24"/>
        </w:rPr>
        <w:t>,</w:t>
      </w:r>
      <w:r w:rsidR="00FB227F" w:rsidRPr="00FB227F">
        <w:rPr>
          <w:rFonts w:ascii="Palatino Linotype" w:hAnsi="Palatino Linotype" w:cs="Arial"/>
          <w:b/>
          <w:sz w:val="24"/>
        </w:rPr>
        <w:t xml:space="preserve"> </w:t>
      </w:r>
      <w:r w:rsidRPr="009F02EB">
        <w:rPr>
          <w:rFonts w:ascii="Palatino Linotype" w:eastAsia="Calibri" w:hAnsi="Palatino Linotype" w:cs="Arial"/>
          <w:sz w:val="24"/>
          <w:szCs w:val="24"/>
        </w:rPr>
        <w:t>procedimiento que le fue asignado el número de expediente</w:t>
      </w:r>
      <w:r w:rsidR="00DB39B5" w:rsidRPr="009F02EB">
        <w:rPr>
          <w:rFonts w:ascii="Palatino Linotype" w:eastAsia="Calibri" w:hAnsi="Palatino Linotype" w:cs="Arial"/>
          <w:sz w:val="24"/>
          <w:szCs w:val="24"/>
        </w:rPr>
        <w:t xml:space="preserve"> </w:t>
      </w:r>
      <w:r w:rsidR="00D36317" w:rsidRPr="009F02EB">
        <w:rPr>
          <w:rFonts w:ascii="Palatino Linotype" w:hAnsi="Palatino Linotype" w:cs="Arial"/>
          <w:b/>
          <w:bCs/>
          <w:sz w:val="24"/>
          <w:szCs w:val="24"/>
        </w:rPr>
        <w:t>0</w:t>
      </w:r>
      <w:r w:rsidR="008B04BB" w:rsidRPr="009F02EB">
        <w:rPr>
          <w:rFonts w:ascii="Palatino Linotype" w:hAnsi="Palatino Linotype" w:cs="Arial"/>
          <w:b/>
          <w:bCs/>
          <w:sz w:val="24"/>
          <w:szCs w:val="24"/>
        </w:rPr>
        <w:t>4</w:t>
      </w:r>
      <w:r w:rsidR="00F05B63">
        <w:rPr>
          <w:rFonts w:ascii="Palatino Linotype" w:hAnsi="Palatino Linotype" w:cs="Arial"/>
          <w:b/>
          <w:bCs/>
          <w:sz w:val="24"/>
          <w:szCs w:val="24"/>
        </w:rPr>
        <w:t>795</w:t>
      </w:r>
      <w:r w:rsidR="00EF3EA6" w:rsidRPr="009F02EB">
        <w:rPr>
          <w:rFonts w:ascii="Palatino Linotype" w:hAnsi="Palatino Linotype" w:cs="Arial"/>
          <w:b/>
          <w:bCs/>
          <w:sz w:val="24"/>
          <w:szCs w:val="24"/>
        </w:rPr>
        <w:t>/INFOEM/IP/RR/2018</w:t>
      </w:r>
      <w:r w:rsidR="00D37ED5" w:rsidRPr="009F02EB">
        <w:rPr>
          <w:rFonts w:ascii="Palatino Linotype" w:hAnsi="Palatino Linotype" w:cs="Arial"/>
          <w:b/>
          <w:bCs/>
          <w:sz w:val="24"/>
          <w:szCs w:val="24"/>
        </w:rPr>
        <w:t>.</w:t>
      </w:r>
    </w:p>
    <w:p w:rsidR="00E6179D" w:rsidRPr="009F02EB" w:rsidRDefault="00E6179D" w:rsidP="00E6179D">
      <w:pPr>
        <w:spacing w:after="0" w:line="360" w:lineRule="auto"/>
        <w:contextualSpacing/>
        <w:jc w:val="both"/>
        <w:rPr>
          <w:rFonts w:ascii="Palatino Linotype" w:eastAsia="Calibri" w:hAnsi="Palatino Linotype" w:cs="Arial"/>
          <w:sz w:val="24"/>
          <w:szCs w:val="24"/>
        </w:rPr>
      </w:pPr>
    </w:p>
    <w:p w:rsidR="00E6179D" w:rsidRPr="00427B79" w:rsidRDefault="00E6179D" w:rsidP="00B41044">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La resolución puntualmente </w:t>
      </w:r>
      <w:r w:rsidRPr="00F44EAA">
        <w:rPr>
          <w:rFonts w:ascii="Palatino Linotype" w:eastAsia="Calibri" w:hAnsi="Palatino Linotype" w:cs="Arial"/>
          <w:sz w:val="24"/>
          <w:szCs w:val="24"/>
        </w:rPr>
        <w:t xml:space="preserve">determina </w:t>
      </w:r>
      <w:r w:rsidR="00F05B63">
        <w:rPr>
          <w:rFonts w:ascii="Palatino Linotype" w:eastAsia="Calibri" w:hAnsi="Palatino Linotype" w:cs="Arial"/>
          <w:b/>
          <w:sz w:val="24"/>
          <w:szCs w:val="24"/>
        </w:rPr>
        <w:t>ORDENAR</w:t>
      </w:r>
      <w:r w:rsidRPr="00427B79">
        <w:rPr>
          <w:rFonts w:ascii="Palatino Linotype" w:eastAsia="Calibri" w:hAnsi="Palatino Linotype" w:cs="Arial"/>
          <w:sz w:val="24"/>
          <w:szCs w:val="24"/>
        </w:rPr>
        <w:t xml:space="preserve"> el recurso de revisión, tomando en consideración la respuesta del Sujeto Obligado.</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9447DE" w:rsidRPr="004006D9" w:rsidRDefault="009447DE" w:rsidP="009447DE">
      <w:pPr>
        <w:pStyle w:val="Prrafodelista"/>
        <w:numPr>
          <w:ilvl w:val="0"/>
          <w:numId w:val="1"/>
        </w:numPr>
        <w:spacing w:line="360" w:lineRule="auto"/>
        <w:ind w:left="0" w:firstLine="0"/>
        <w:jc w:val="both"/>
        <w:rPr>
          <w:rFonts w:ascii="Palatino Linotype" w:eastAsia="Calibri" w:hAnsi="Palatino Linotype" w:cs="Arial"/>
          <w:sz w:val="24"/>
          <w:szCs w:val="24"/>
        </w:rPr>
      </w:pPr>
      <w:r w:rsidRPr="00E63C30">
        <w:rPr>
          <w:rFonts w:ascii="Palatino Linotype" w:eastAsia="Calibri" w:hAnsi="Palatino Linotype" w:cs="Arial"/>
          <w:sz w:val="24"/>
          <w:szCs w:val="24"/>
        </w:rPr>
        <w:t xml:space="preserve">Estando de acuerdo con la resolución formulada por el comisionado ponente, mi voto particular consiste en que lo ordenado por este Pleno, no solo basta con  el simple pronunciamiento que el </w:t>
      </w:r>
      <w:r w:rsidRPr="009447DE">
        <w:rPr>
          <w:rFonts w:ascii="Palatino Linotype" w:eastAsia="Calibri" w:hAnsi="Palatino Linotype" w:cs="Arial"/>
          <w:b/>
          <w:sz w:val="24"/>
          <w:szCs w:val="24"/>
        </w:rPr>
        <w:t>SUJETO OBLIGADO</w:t>
      </w:r>
      <w:r w:rsidRPr="00E63C30">
        <w:rPr>
          <w:rFonts w:ascii="Palatino Linotype" w:eastAsia="Calibri" w:hAnsi="Palatino Linotype" w:cs="Arial"/>
          <w:sz w:val="24"/>
          <w:szCs w:val="24"/>
        </w:rPr>
        <w:t xml:space="preserve"> realice al momento de dar cumplimiento a la misma, sino que deberá manifestar de manera precisa y clara las razones que expliquen las causas por las que no se haya poseído, generado y/o administrado la información solicitada.  </w:t>
      </w:r>
    </w:p>
    <w:p w:rsidR="00E6179D" w:rsidRPr="00427B79" w:rsidRDefault="00E6179D" w:rsidP="00E6179D">
      <w:pPr>
        <w:pStyle w:val="Prrafodelista"/>
        <w:ind w:left="0"/>
        <w:rPr>
          <w:rFonts w:ascii="Palatino Linotype" w:eastAsia="Calibri" w:hAnsi="Palatino Linotype" w:cs="Arial"/>
          <w:sz w:val="24"/>
          <w:szCs w:val="24"/>
          <w:lang w:val="es-ES"/>
        </w:rPr>
      </w:pPr>
    </w:p>
    <w:p w:rsidR="00E6179D" w:rsidRPr="00427B79" w:rsidRDefault="00E6179D" w:rsidP="00B41044">
      <w:pPr>
        <w:numPr>
          <w:ilvl w:val="0"/>
          <w:numId w:val="1"/>
        </w:numPr>
        <w:spacing w:after="0" w:line="360" w:lineRule="auto"/>
        <w:ind w:left="0" w:firstLine="0"/>
        <w:contextualSpacing/>
        <w:jc w:val="both"/>
        <w:rPr>
          <w:rFonts w:ascii="Palatino Linotype" w:eastAsia="Calibri" w:hAnsi="Palatino Linotype" w:cs="Arial"/>
          <w:sz w:val="24"/>
          <w:szCs w:val="24"/>
          <w:lang w:val="es-ES"/>
        </w:rPr>
      </w:pPr>
      <w:r w:rsidRPr="00427B79">
        <w:rPr>
          <w:rFonts w:ascii="Palatino Linotype" w:eastAsia="Calibri" w:hAnsi="Palatino Linotype" w:cs="Arial"/>
          <w:sz w:val="24"/>
          <w:szCs w:val="24"/>
          <w:lang w:val="es-ES"/>
        </w:rPr>
        <w:t>Por</w:t>
      </w:r>
      <w:r w:rsidRPr="00427B79">
        <w:rPr>
          <w:rFonts w:ascii="Palatino Linotype" w:eastAsia="Calibri" w:hAnsi="Palatino Linotype" w:cs="Arial"/>
          <w:sz w:val="24"/>
          <w:szCs w:val="24"/>
        </w:rPr>
        <w:t xml:space="preserve"> tal motivo y en términos de lo señalado por el artículo 14 fracción XI del Reglamento Interior del Instituto de Transparencia y Acceso a la Información Pública del Estado de México y Municipios formulo el presente voto particular.</w:t>
      </w:r>
    </w:p>
    <w:p w:rsidR="00E6179D" w:rsidRPr="00427B79" w:rsidRDefault="00E6179D" w:rsidP="00E6179D">
      <w:pPr>
        <w:pStyle w:val="Prrafodelista"/>
        <w:ind w:left="0"/>
        <w:rPr>
          <w:rFonts w:ascii="Palatino Linotype" w:eastAsia="Calibri" w:hAnsi="Palatino Linotype" w:cs="Arial"/>
          <w:sz w:val="24"/>
          <w:szCs w:val="24"/>
          <w:lang w:val="es-ES"/>
        </w:rPr>
      </w:pPr>
    </w:p>
    <w:p w:rsidR="00E6179D" w:rsidRPr="00427B79" w:rsidRDefault="00E6179D" w:rsidP="00B41044">
      <w:pPr>
        <w:pStyle w:val="Ttulo1"/>
        <w:numPr>
          <w:ilvl w:val="0"/>
          <w:numId w:val="2"/>
        </w:numPr>
        <w:ind w:left="0" w:firstLine="0"/>
        <w:rPr>
          <w:rFonts w:eastAsia="Calibri"/>
          <w:color w:val="auto"/>
          <w:szCs w:val="24"/>
          <w:lang w:val="es-ES"/>
        </w:rPr>
      </w:pPr>
      <w:bookmarkStart w:id="2" w:name="_Toc2634149"/>
      <w:r w:rsidRPr="00427B79">
        <w:rPr>
          <w:rFonts w:eastAsia="Calibri"/>
          <w:color w:val="auto"/>
          <w:szCs w:val="24"/>
          <w:lang w:val="es-ES"/>
        </w:rPr>
        <w:t>De los requerimientos planteados en el recurso de revisión.</w:t>
      </w:r>
      <w:bookmarkEnd w:id="2"/>
    </w:p>
    <w:p w:rsidR="00E6179D" w:rsidRPr="00427B79" w:rsidRDefault="00E6179D" w:rsidP="00E6179D">
      <w:pPr>
        <w:pStyle w:val="Prrafodelista"/>
        <w:ind w:left="0"/>
        <w:rPr>
          <w:rFonts w:ascii="Palatino Linotype" w:eastAsia="Calibri" w:hAnsi="Palatino Linotype" w:cs="Arial"/>
          <w:sz w:val="24"/>
          <w:szCs w:val="24"/>
          <w:lang w:val="es-ES"/>
        </w:rPr>
      </w:pPr>
    </w:p>
    <w:p w:rsidR="00C17563" w:rsidRDefault="00E6179D" w:rsidP="00C17563">
      <w:pPr>
        <w:pStyle w:val="Sinespaciado"/>
        <w:spacing w:line="360" w:lineRule="auto"/>
        <w:ind w:left="567" w:right="567"/>
        <w:jc w:val="both"/>
        <w:rPr>
          <w:rFonts w:ascii="Palatino Linotype" w:eastAsia="Calibri" w:hAnsi="Palatino Linotype" w:cs="Times New Roman"/>
          <w:sz w:val="24"/>
          <w:szCs w:val="24"/>
        </w:rPr>
      </w:pPr>
      <w:r w:rsidRPr="00D93A70">
        <w:rPr>
          <w:rFonts w:ascii="Palatino Linotype" w:eastAsia="Calibri" w:hAnsi="Palatino Linotype" w:cs="Arial"/>
          <w:sz w:val="24"/>
          <w:szCs w:val="24"/>
          <w:lang w:val="es-ES"/>
        </w:rPr>
        <w:lastRenderedPageBreak/>
        <w:t xml:space="preserve">En </w:t>
      </w:r>
      <w:r w:rsidRPr="00D93A70">
        <w:rPr>
          <w:rFonts w:ascii="Palatino Linotype" w:eastAsia="Calibri" w:hAnsi="Palatino Linotype" w:cs="Times New Roman"/>
          <w:sz w:val="24"/>
          <w:szCs w:val="24"/>
        </w:rPr>
        <w:t xml:space="preserve">ejercicio del derecho constitucional que </w:t>
      </w:r>
      <w:r w:rsidR="00860A8A">
        <w:rPr>
          <w:rFonts w:ascii="Palatino Linotype" w:eastAsia="Calibri" w:hAnsi="Palatino Linotype" w:cs="Times New Roman"/>
          <w:sz w:val="24"/>
          <w:szCs w:val="24"/>
        </w:rPr>
        <w:t xml:space="preserve"> </w:t>
      </w:r>
      <w:r w:rsidRPr="00D93A70">
        <w:rPr>
          <w:rFonts w:ascii="Palatino Linotype" w:eastAsia="Calibri" w:hAnsi="Palatino Linotype" w:cs="Times New Roman"/>
          <w:sz w:val="24"/>
          <w:szCs w:val="24"/>
        </w:rPr>
        <w:t>le asiste al particular, formuló una solicitu</w:t>
      </w:r>
      <w:r w:rsidR="003E0648" w:rsidRPr="00D93A70">
        <w:rPr>
          <w:rFonts w:ascii="Palatino Linotype" w:eastAsia="Calibri" w:hAnsi="Palatino Linotype" w:cs="Times New Roman"/>
          <w:sz w:val="24"/>
          <w:szCs w:val="24"/>
        </w:rPr>
        <w:t>d de información dirigida hacia</w:t>
      </w:r>
      <w:r w:rsidR="00F05B63">
        <w:rPr>
          <w:rFonts w:ascii="Palatino Linotype" w:eastAsia="Calibri" w:hAnsi="Palatino Linotype" w:cs="Times New Roman"/>
          <w:sz w:val="24"/>
          <w:szCs w:val="24"/>
        </w:rPr>
        <w:t xml:space="preserve"> el</w:t>
      </w:r>
      <w:r w:rsidR="00FA571E" w:rsidRPr="00FA571E">
        <w:rPr>
          <w:rFonts w:ascii="Palatino Linotype" w:hAnsi="Palatino Linotype" w:cs="Arial"/>
          <w:b/>
          <w:sz w:val="24"/>
          <w:szCs w:val="24"/>
        </w:rPr>
        <w:t xml:space="preserve"> </w:t>
      </w:r>
      <w:r w:rsidR="00F05B63" w:rsidRPr="00A50811">
        <w:rPr>
          <w:rFonts w:ascii="Palatino Linotype" w:hAnsi="Palatino Linotype" w:cs="Arial"/>
          <w:b/>
          <w:sz w:val="24"/>
          <w:szCs w:val="24"/>
        </w:rPr>
        <w:t>Ayuntamiento de Soyaniquilpan de Juárez</w:t>
      </w:r>
      <w:r w:rsidR="00F05B63" w:rsidRPr="0076150E">
        <w:rPr>
          <w:rFonts w:ascii="Palatino Linotype" w:hAnsi="Palatino Linotype" w:cs="Arial"/>
          <w:b/>
          <w:sz w:val="24"/>
          <w:szCs w:val="24"/>
        </w:rPr>
        <w:t>,</w:t>
      </w:r>
      <w:r w:rsidR="00F05B63">
        <w:rPr>
          <w:rFonts w:ascii="Palatino Linotype" w:hAnsi="Palatino Linotype" w:cs="Arial"/>
          <w:b/>
          <w:sz w:val="24"/>
          <w:szCs w:val="24"/>
        </w:rPr>
        <w:t xml:space="preserve"> </w:t>
      </w:r>
      <w:r w:rsidR="00466F4A" w:rsidRPr="00D93A70">
        <w:rPr>
          <w:rFonts w:ascii="Palatino Linotype" w:eastAsia="Calibri" w:hAnsi="Palatino Linotype" w:cs="Times New Roman"/>
          <w:sz w:val="24"/>
          <w:szCs w:val="24"/>
        </w:rPr>
        <w:t>en dicha</w:t>
      </w:r>
      <w:r w:rsidR="005C0258" w:rsidRPr="00D93A70">
        <w:rPr>
          <w:rFonts w:ascii="Palatino Linotype" w:eastAsia="Calibri" w:hAnsi="Palatino Linotype" w:cs="Times New Roman"/>
          <w:sz w:val="24"/>
          <w:szCs w:val="24"/>
        </w:rPr>
        <w:t xml:space="preserve"> solicitud planteó lo </w:t>
      </w:r>
      <w:r w:rsidRPr="00D93A70">
        <w:rPr>
          <w:rFonts w:ascii="Palatino Linotype" w:eastAsia="Calibri" w:hAnsi="Palatino Linotype" w:cs="Times New Roman"/>
          <w:sz w:val="24"/>
          <w:szCs w:val="24"/>
        </w:rPr>
        <w:t>siguient</w:t>
      </w:r>
      <w:r w:rsidR="00480F5B" w:rsidRPr="00D93A70">
        <w:rPr>
          <w:rFonts w:ascii="Palatino Linotype" w:eastAsia="Calibri" w:hAnsi="Palatino Linotype" w:cs="Times New Roman"/>
          <w:sz w:val="24"/>
          <w:szCs w:val="24"/>
        </w:rPr>
        <w:t>e</w:t>
      </w:r>
      <w:r w:rsidR="006262ED" w:rsidRPr="00D93A70">
        <w:rPr>
          <w:rFonts w:ascii="Palatino Linotype" w:eastAsia="Calibri" w:hAnsi="Palatino Linotype" w:cs="Times New Roman"/>
          <w:sz w:val="24"/>
          <w:szCs w:val="24"/>
        </w:rPr>
        <w:t>:</w:t>
      </w:r>
      <w:r w:rsidR="00C17563">
        <w:rPr>
          <w:rFonts w:ascii="Palatino Linotype" w:eastAsia="Calibri" w:hAnsi="Palatino Linotype" w:cs="Times New Roman"/>
          <w:sz w:val="24"/>
          <w:szCs w:val="24"/>
        </w:rPr>
        <w:t xml:space="preserve"> </w:t>
      </w:r>
    </w:p>
    <w:p w:rsidR="003D42E2" w:rsidRDefault="003D42E2" w:rsidP="00472C78">
      <w:pPr>
        <w:spacing w:line="240" w:lineRule="auto"/>
        <w:ind w:left="851" w:right="850"/>
        <w:jc w:val="both"/>
        <w:rPr>
          <w:rFonts w:ascii="Palatino Linotype" w:hAnsi="Palatino Linotype" w:cs="Arial"/>
          <w:b/>
          <w:sz w:val="24"/>
        </w:rPr>
      </w:pPr>
    </w:p>
    <w:p w:rsidR="00F333C8" w:rsidRDefault="00270A4F" w:rsidP="00F333C8">
      <w:pPr>
        <w:autoSpaceDE w:val="0"/>
        <w:autoSpaceDN w:val="0"/>
        <w:adjustRightInd w:val="0"/>
        <w:spacing w:line="360" w:lineRule="auto"/>
        <w:ind w:left="851" w:right="900"/>
        <w:jc w:val="both"/>
        <w:rPr>
          <w:rFonts w:ascii="Palatino Linotype" w:hAnsi="Palatino Linotype" w:cs="Arial"/>
          <w:sz w:val="24"/>
          <w:szCs w:val="24"/>
          <w:lang w:val="es-ES_tradnl" w:eastAsia="es-MX"/>
        </w:rPr>
      </w:pPr>
      <w:r w:rsidRPr="00270A4F">
        <w:rPr>
          <w:rFonts w:ascii="Palatino Linotype" w:hAnsi="Palatino Linotype" w:cs="Arial"/>
          <w:i/>
          <w:sz w:val="24"/>
          <w:szCs w:val="24"/>
          <w:lang w:val="es-ES_tradnl" w:eastAsia="es-MX"/>
        </w:rPr>
        <w:t>•</w:t>
      </w:r>
      <w:r w:rsidRPr="00270A4F">
        <w:rPr>
          <w:rFonts w:ascii="Palatino Linotype" w:hAnsi="Palatino Linotype" w:cs="Arial"/>
          <w:i/>
          <w:sz w:val="24"/>
          <w:szCs w:val="24"/>
          <w:lang w:val="es-ES_tradnl" w:eastAsia="es-MX"/>
        </w:rPr>
        <w:tab/>
      </w:r>
      <w:r w:rsidRPr="00270A4F">
        <w:rPr>
          <w:rFonts w:ascii="Palatino Linotype" w:hAnsi="Palatino Linotype" w:cs="Arial"/>
          <w:sz w:val="24"/>
          <w:szCs w:val="24"/>
          <w:lang w:val="es-ES_tradnl" w:eastAsia="es-MX"/>
        </w:rPr>
        <w:t>Archivo adjunto: “Preguntas_Alumbrado_Nov_2018.pdf”; el cual, contiene el siguiente cuestionario:</w:t>
      </w:r>
    </w:p>
    <w:p w:rsidR="00270A4F" w:rsidRPr="00270A4F" w:rsidRDefault="00270A4F" w:rsidP="00F333C8">
      <w:pPr>
        <w:autoSpaceDE w:val="0"/>
        <w:autoSpaceDN w:val="0"/>
        <w:adjustRightInd w:val="0"/>
        <w:spacing w:line="360" w:lineRule="auto"/>
        <w:ind w:left="851" w:right="900"/>
        <w:jc w:val="both"/>
        <w:rPr>
          <w:rFonts w:ascii="Palatino Linotype" w:hAnsi="Palatino Linotype" w:cs="Arial"/>
          <w:sz w:val="24"/>
          <w:szCs w:val="24"/>
          <w:lang w:val="es-ES_tradnl"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453390</wp:posOffset>
                </wp:positionH>
                <wp:positionV relativeFrom="paragraph">
                  <wp:posOffset>141604</wp:posOffset>
                </wp:positionV>
                <wp:extent cx="5372100" cy="4638675"/>
                <wp:effectExtent l="19050" t="19050" r="19050" b="28575"/>
                <wp:wrapNone/>
                <wp:docPr id="10" name="Conector recto 10"/>
                <wp:cNvGraphicFramePr/>
                <a:graphic xmlns:a="http://schemas.openxmlformats.org/drawingml/2006/main">
                  <a:graphicData uri="http://schemas.microsoft.com/office/word/2010/wordprocessingShape">
                    <wps:wsp>
                      <wps:cNvCnPr/>
                      <wps:spPr>
                        <a:xfrm>
                          <a:off x="0" y="0"/>
                          <a:ext cx="5372100" cy="4638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42EF1"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7pt,11.15pt" to="458.7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" strokecolor="#5b9bd5 [3204]" strokeweight="2.25pt">
                <v:stroke joinstyle="miter"/>
              </v:line>
            </w:pict>
          </mc:Fallback>
        </mc:AlternateContent>
      </w:r>
    </w:p>
    <w:p w:rsidR="00270A4F" w:rsidRDefault="00270A4F" w:rsidP="00F333C8">
      <w:pPr>
        <w:autoSpaceDE w:val="0"/>
        <w:autoSpaceDN w:val="0"/>
        <w:adjustRightInd w:val="0"/>
        <w:spacing w:line="360" w:lineRule="auto"/>
        <w:ind w:left="851" w:right="900"/>
        <w:jc w:val="both"/>
        <w:rPr>
          <w:rFonts w:ascii="Palatino Linotype" w:hAnsi="Palatino Linotype" w:cs="Arial"/>
          <w:i/>
          <w:sz w:val="24"/>
          <w:szCs w:val="24"/>
          <w:lang w:val="es-ES_tradnl" w:eastAsia="es-MX"/>
        </w:rPr>
      </w:pPr>
      <w:r>
        <w:rPr>
          <w:rFonts w:ascii="Palatino Linotype" w:hAnsi="Palatino Linotype" w:cs="Arial"/>
          <w:i/>
          <w:noProof/>
          <w:sz w:val="24"/>
          <w:szCs w:val="24"/>
          <w:lang w:eastAsia="es-MX"/>
        </w:rPr>
        <w:lastRenderedPageBreak/>
        <w:drawing>
          <wp:inline distT="0" distB="0" distL="0" distR="0" wp14:anchorId="6F2A56CC">
            <wp:extent cx="5761355" cy="7419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7419340"/>
                    </a:xfrm>
                    <a:prstGeom prst="rect">
                      <a:avLst/>
                    </a:prstGeom>
                    <a:noFill/>
                  </pic:spPr>
                </pic:pic>
              </a:graphicData>
            </a:graphic>
          </wp:inline>
        </w:drawing>
      </w:r>
    </w:p>
    <w:p w:rsidR="00270A4F" w:rsidRDefault="00270A4F" w:rsidP="00F333C8">
      <w:pPr>
        <w:autoSpaceDE w:val="0"/>
        <w:autoSpaceDN w:val="0"/>
        <w:adjustRightInd w:val="0"/>
        <w:spacing w:line="360" w:lineRule="auto"/>
        <w:ind w:left="851" w:right="900"/>
        <w:jc w:val="both"/>
        <w:rPr>
          <w:rFonts w:ascii="Palatino Linotype" w:hAnsi="Palatino Linotype" w:cs="Arial"/>
          <w:i/>
          <w:sz w:val="24"/>
          <w:szCs w:val="24"/>
          <w:lang w:val="es-ES_tradnl" w:eastAsia="es-MX"/>
        </w:rPr>
      </w:pPr>
      <w:r>
        <w:rPr>
          <w:rFonts w:ascii="Palatino Linotype" w:hAnsi="Palatino Linotype" w:cs="Arial"/>
          <w:i/>
          <w:noProof/>
          <w:sz w:val="24"/>
          <w:szCs w:val="24"/>
          <w:lang w:eastAsia="es-MX"/>
        </w:rPr>
        <w:lastRenderedPageBreak/>
        <w:drawing>
          <wp:anchor distT="0" distB="0" distL="114300" distR="114300" simplePos="0" relativeHeight="251658240" behindDoc="0" locked="0" layoutInCell="1" allowOverlap="1">
            <wp:simplePos x="0" y="0"/>
            <wp:positionH relativeFrom="column">
              <wp:posOffset>539115</wp:posOffset>
            </wp:positionH>
            <wp:positionV relativeFrom="paragraph">
              <wp:posOffset>-3175</wp:posOffset>
            </wp:positionV>
            <wp:extent cx="5761355" cy="70961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096125"/>
                    </a:xfrm>
                    <a:prstGeom prst="rect">
                      <a:avLst/>
                    </a:prstGeom>
                    <a:noFill/>
                  </pic:spPr>
                </pic:pic>
              </a:graphicData>
            </a:graphic>
            <wp14:sizeRelH relativeFrom="page">
              <wp14:pctWidth>0</wp14:pctWidth>
            </wp14:sizeRelH>
            <wp14:sizeRelV relativeFrom="page">
              <wp14:pctHeight>0</wp14:pctHeight>
            </wp14:sizeRelV>
          </wp:anchor>
        </w:drawing>
      </w:r>
    </w:p>
    <w:p w:rsidR="00270A4F" w:rsidRPr="00860A8A" w:rsidRDefault="00270A4F" w:rsidP="00F333C8">
      <w:pPr>
        <w:autoSpaceDE w:val="0"/>
        <w:autoSpaceDN w:val="0"/>
        <w:adjustRightInd w:val="0"/>
        <w:spacing w:line="360" w:lineRule="auto"/>
        <w:ind w:left="851" w:right="900"/>
        <w:jc w:val="both"/>
        <w:rPr>
          <w:rFonts w:ascii="Palatino Linotype" w:hAnsi="Palatino Linotype" w:cs="Arial"/>
          <w:i/>
          <w:sz w:val="24"/>
          <w:szCs w:val="24"/>
          <w:lang w:val="es-ES_tradnl" w:eastAsia="es-MX"/>
        </w:rPr>
      </w:pPr>
      <w:r>
        <w:rPr>
          <w:rFonts w:ascii="Palatino Linotype" w:hAnsi="Palatino Linotype" w:cs="Arial"/>
          <w:i/>
          <w:noProof/>
          <w:sz w:val="24"/>
          <w:szCs w:val="24"/>
          <w:lang w:eastAsia="es-MX"/>
        </w:rPr>
        <w:lastRenderedPageBreak/>
        <w:drawing>
          <wp:inline distT="0" distB="0" distL="0" distR="0" wp14:anchorId="0DA03E5F">
            <wp:extent cx="5761355" cy="71634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7163435"/>
                    </a:xfrm>
                    <a:prstGeom prst="rect">
                      <a:avLst/>
                    </a:prstGeom>
                    <a:noFill/>
                  </pic:spPr>
                </pic:pic>
              </a:graphicData>
            </a:graphic>
          </wp:inline>
        </w:drawing>
      </w:r>
    </w:p>
    <w:p w:rsidR="00270A4F" w:rsidRDefault="00270A4F" w:rsidP="00270A4F">
      <w:pPr>
        <w:pStyle w:val="Prrafodelista"/>
        <w:autoSpaceDE w:val="0"/>
        <w:autoSpaceDN w:val="0"/>
        <w:adjustRightInd w:val="0"/>
        <w:spacing w:line="360" w:lineRule="auto"/>
        <w:ind w:left="0" w:right="49"/>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w:lastRenderedPageBreak/>
        <w:drawing>
          <wp:inline distT="0" distB="0" distL="0" distR="0" wp14:anchorId="2B589903">
            <wp:extent cx="5761355" cy="2042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042160"/>
                    </a:xfrm>
                    <a:prstGeom prst="rect">
                      <a:avLst/>
                    </a:prstGeom>
                    <a:noFill/>
                  </pic:spPr>
                </pic:pic>
              </a:graphicData>
            </a:graphic>
          </wp:inline>
        </w:drawing>
      </w:r>
    </w:p>
    <w:p w:rsidR="00270A4F" w:rsidRDefault="00270A4F" w:rsidP="00270A4F">
      <w:pPr>
        <w:pStyle w:val="Prrafodelista"/>
        <w:autoSpaceDE w:val="0"/>
        <w:autoSpaceDN w:val="0"/>
        <w:adjustRightInd w:val="0"/>
        <w:spacing w:line="360" w:lineRule="auto"/>
        <w:ind w:left="0" w:right="49"/>
        <w:jc w:val="both"/>
        <w:rPr>
          <w:rFonts w:ascii="Palatino Linotype" w:eastAsia="Calibri" w:hAnsi="Palatino Linotype" w:cs="Arial"/>
          <w:sz w:val="24"/>
          <w:szCs w:val="24"/>
        </w:rPr>
      </w:pPr>
    </w:p>
    <w:p w:rsidR="000E4D6E" w:rsidRPr="002B6741" w:rsidRDefault="00E6179D" w:rsidP="003D74AD">
      <w:pPr>
        <w:pStyle w:val="Prrafodelista"/>
        <w:numPr>
          <w:ilvl w:val="0"/>
          <w:numId w:val="1"/>
        </w:numPr>
        <w:autoSpaceDE w:val="0"/>
        <w:autoSpaceDN w:val="0"/>
        <w:adjustRightInd w:val="0"/>
        <w:spacing w:line="360" w:lineRule="auto"/>
        <w:ind w:left="0" w:right="49" w:firstLine="0"/>
        <w:jc w:val="both"/>
        <w:rPr>
          <w:rFonts w:ascii="Palatino Linotype" w:eastAsia="Calibri" w:hAnsi="Palatino Linotype" w:cs="Arial"/>
          <w:sz w:val="24"/>
          <w:szCs w:val="24"/>
        </w:rPr>
      </w:pPr>
      <w:r w:rsidRPr="002B6741">
        <w:rPr>
          <w:rFonts w:ascii="Palatino Linotype" w:eastAsia="Calibri" w:hAnsi="Palatino Linotype" w:cs="Arial"/>
          <w:sz w:val="24"/>
          <w:szCs w:val="24"/>
        </w:rPr>
        <w:t xml:space="preserve">Bajo esas consideraciones la Ponencia </w:t>
      </w:r>
      <w:r w:rsidR="00FD1FAD" w:rsidRPr="002B6741">
        <w:rPr>
          <w:rFonts w:ascii="Palatino Linotype" w:eastAsia="Calibri" w:hAnsi="Palatino Linotype" w:cs="Arial"/>
          <w:sz w:val="24"/>
          <w:szCs w:val="24"/>
        </w:rPr>
        <w:t>que resuelve el recurso de revisión</w:t>
      </w:r>
      <w:r w:rsidRPr="002B6741">
        <w:rPr>
          <w:rFonts w:ascii="Palatino Linotype" w:eastAsia="Calibri" w:hAnsi="Palatino Linotype" w:cs="Arial"/>
          <w:sz w:val="24"/>
          <w:szCs w:val="24"/>
        </w:rPr>
        <w:t xml:space="preserve"> para no realizar una afectación al derecho de acceso a la información del particular, decidió por cuenta propia entrar al estudio y análisis del asunto a efecto de </w:t>
      </w:r>
      <w:r w:rsidR="00FD1FAD" w:rsidRPr="002B6741">
        <w:rPr>
          <w:rFonts w:ascii="Palatino Linotype" w:eastAsia="Calibri" w:hAnsi="Palatino Linotype" w:cs="Arial"/>
          <w:sz w:val="24"/>
          <w:szCs w:val="24"/>
        </w:rPr>
        <w:t>verificar si existe fu</w:t>
      </w:r>
      <w:r w:rsidR="003D42E2">
        <w:rPr>
          <w:rFonts w:ascii="Palatino Linotype" w:eastAsia="Calibri" w:hAnsi="Palatino Linotype" w:cs="Arial"/>
          <w:sz w:val="24"/>
          <w:szCs w:val="24"/>
        </w:rPr>
        <w:t xml:space="preserve">ente obligacional por parte </w:t>
      </w:r>
      <w:r w:rsidR="003E0648" w:rsidRPr="002B6741">
        <w:rPr>
          <w:rFonts w:ascii="Palatino Linotype" w:eastAsia="Calibri" w:hAnsi="Palatino Linotype" w:cs="Arial"/>
          <w:sz w:val="24"/>
          <w:szCs w:val="24"/>
        </w:rPr>
        <w:t>de</w:t>
      </w:r>
      <w:r w:rsidR="0090574B">
        <w:rPr>
          <w:rFonts w:ascii="Palatino Linotype" w:eastAsia="Calibri" w:hAnsi="Palatino Linotype" w:cs="Arial"/>
          <w:sz w:val="24"/>
          <w:szCs w:val="24"/>
        </w:rPr>
        <w:t>l</w:t>
      </w:r>
      <w:r w:rsidR="0090574B" w:rsidRPr="0090574B">
        <w:rPr>
          <w:rFonts w:ascii="Palatino Linotype" w:hAnsi="Palatino Linotype" w:cs="Arial"/>
          <w:b/>
          <w:sz w:val="24"/>
          <w:szCs w:val="24"/>
        </w:rPr>
        <w:t xml:space="preserve"> </w:t>
      </w:r>
      <w:r w:rsidR="0090574B" w:rsidRPr="00A50811">
        <w:rPr>
          <w:rFonts w:ascii="Palatino Linotype" w:hAnsi="Palatino Linotype" w:cs="Arial"/>
          <w:b/>
          <w:sz w:val="24"/>
          <w:szCs w:val="24"/>
        </w:rPr>
        <w:t>Ayuntamiento de Soyaniquilpan de Juárez</w:t>
      </w:r>
      <w:r w:rsidR="00FA571E">
        <w:rPr>
          <w:rFonts w:ascii="Palatino Linotype" w:hAnsi="Palatino Linotype" w:cs="Arial"/>
          <w:b/>
          <w:sz w:val="24"/>
          <w:szCs w:val="24"/>
        </w:rPr>
        <w:t>,</w:t>
      </w:r>
      <w:r w:rsidR="00A46EBA">
        <w:rPr>
          <w:rFonts w:ascii="Palatino Linotype" w:eastAsiaTheme="minorEastAsia" w:hAnsi="Palatino Linotype" w:cs="Arial"/>
          <w:b/>
        </w:rPr>
        <w:t xml:space="preserve"> </w:t>
      </w:r>
      <w:r w:rsidR="00A46EBA">
        <w:rPr>
          <w:rFonts w:ascii="Palatino Linotype" w:eastAsia="Calibri" w:hAnsi="Palatino Linotype" w:cs="Arial"/>
          <w:sz w:val="24"/>
          <w:szCs w:val="24"/>
        </w:rPr>
        <w:t xml:space="preserve"> </w:t>
      </w:r>
      <w:r w:rsidR="00FD1FAD" w:rsidRPr="002B6741">
        <w:rPr>
          <w:rFonts w:ascii="Palatino Linotype" w:eastAsia="Calibri" w:hAnsi="Palatino Linotype" w:cs="Arial"/>
          <w:sz w:val="24"/>
          <w:szCs w:val="24"/>
        </w:rPr>
        <w:t xml:space="preserve">y así ordenar que se realice una búsqueda exhaustiva en los archivos </w:t>
      </w:r>
      <w:r w:rsidR="00B16CE1" w:rsidRPr="002B6741">
        <w:rPr>
          <w:rFonts w:ascii="Palatino Linotype" w:eastAsia="Calibri" w:hAnsi="Palatino Linotype" w:cs="Arial"/>
          <w:sz w:val="24"/>
          <w:szCs w:val="24"/>
        </w:rPr>
        <w:t xml:space="preserve">del </w:t>
      </w:r>
      <w:r w:rsidR="00FD1FAD" w:rsidRPr="002B6741">
        <w:rPr>
          <w:rFonts w:ascii="Palatino Linotype" w:eastAsia="Calibri" w:hAnsi="Palatino Linotype" w:cs="Arial"/>
          <w:b/>
          <w:sz w:val="24"/>
          <w:szCs w:val="24"/>
        </w:rPr>
        <w:t>SUJETO OBLIGADO</w:t>
      </w:r>
      <w:r w:rsidR="0006430D" w:rsidRPr="002B6741">
        <w:rPr>
          <w:rFonts w:ascii="Palatino Linotype" w:eastAsia="Calibri" w:hAnsi="Palatino Linotype" w:cs="Arial"/>
          <w:b/>
          <w:sz w:val="24"/>
          <w:szCs w:val="24"/>
        </w:rPr>
        <w:t>.</w:t>
      </w:r>
    </w:p>
    <w:p w:rsidR="000E4D6E" w:rsidRPr="000E4D6E" w:rsidRDefault="000E4D6E" w:rsidP="003D74AD">
      <w:pPr>
        <w:pStyle w:val="Prrafodelista"/>
        <w:spacing w:line="360" w:lineRule="auto"/>
        <w:ind w:left="0" w:right="49"/>
        <w:jc w:val="both"/>
        <w:rPr>
          <w:rFonts w:ascii="Palatino Linotype" w:eastAsia="Calibri" w:hAnsi="Palatino Linotype" w:cs="Arial"/>
          <w:sz w:val="24"/>
          <w:szCs w:val="24"/>
        </w:rPr>
      </w:pPr>
    </w:p>
    <w:p w:rsidR="00A43A7A" w:rsidRPr="00FE3923" w:rsidRDefault="00480F5B" w:rsidP="00570B7C">
      <w:pPr>
        <w:pStyle w:val="Prrafodelista"/>
        <w:numPr>
          <w:ilvl w:val="0"/>
          <w:numId w:val="1"/>
        </w:numPr>
        <w:spacing w:before="120" w:after="120" w:line="360" w:lineRule="auto"/>
        <w:ind w:right="49"/>
        <w:jc w:val="both"/>
        <w:rPr>
          <w:rFonts w:ascii="Palatino Linotype" w:hAnsi="Palatino Linotype"/>
          <w:sz w:val="24"/>
          <w:szCs w:val="24"/>
        </w:rPr>
      </w:pPr>
      <w:r w:rsidRPr="00CE55B7">
        <w:rPr>
          <w:rFonts w:ascii="Palatino Linotype" w:eastAsia="Calibri" w:hAnsi="Palatino Linotype" w:cs="Arial"/>
          <w:sz w:val="24"/>
          <w:szCs w:val="24"/>
        </w:rPr>
        <w:t xml:space="preserve">Por lo que respecta al análisis que realizó el ponente </w:t>
      </w:r>
      <w:r w:rsidRPr="00CE55B7">
        <w:rPr>
          <w:rFonts w:ascii="Palatino Linotype" w:hAnsi="Palatino Linotype" w:cs="Arial"/>
          <w:sz w:val="24"/>
          <w:szCs w:val="24"/>
        </w:rPr>
        <w:t xml:space="preserve">se observó que el </w:t>
      </w:r>
      <w:r w:rsidRPr="00CE55B7">
        <w:rPr>
          <w:rFonts w:ascii="Palatino Linotype" w:hAnsi="Palatino Linotype" w:cs="Arial"/>
          <w:b/>
          <w:sz w:val="24"/>
          <w:szCs w:val="24"/>
        </w:rPr>
        <w:t xml:space="preserve">SUJETO OBLIGADO </w:t>
      </w:r>
      <w:r w:rsidRPr="00CE55B7">
        <w:rPr>
          <w:rFonts w:ascii="Palatino Linotype" w:hAnsi="Palatino Linotype" w:cs="Arial"/>
          <w:sz w:val="24"/>
          <w:szCs w:val="24"/>
        </w:rPr>
        <w:t>no colmó la solicitud de información por parte del solicitante, por lo que se</w:t>
      </w:r>
      <w:r w:rsidRPr="00CE55B7">
        <w:rPr>
          <w:rFonts w:ascii="Palatino Linotype" w:hAnsi="Palatino Linotype" w:cs="Arial"/>
          <w:b/>
          <w:sz w:val="24"/>
          <w:szCs w:val="24"/>
        </w:rPr>
        <w:t xml:space="preserve"> ORDENA</w:t>
      </w:r>
      <w:r w:rsidR="00570B7C" w:rsidRPr="00570B7C">
        <w:t xml:space="preserve"> </w:t>
      </w:r>
      <w:r w:rsidR="00570B7C" w:rsidRPr="00570B7C">
        <w:rPr>
          <w:rFonts w:ascii="Palatino Linotype" w:hAnsi="Palatino Linotype"/>
          <w:b/>
          <w:sz w:val="24"/>
          <w:szCs w:val="24"/>
        </w:rPr>
        <w:t xml:space="preserve">al </w:t>
      </w:r>
      <w:r w:rsidR="00570B7C" w:rsidRPr="00570B7C">
        <w:rPr>
          <w:rFonts w:ascii="Palatino Linotype" w:hAnsi="Palatino Linotype" w:cs="Arial"/>
          <w:b/>
          <w:sz w:val="24"/>
          <w:szCs w:val="24"/>
        </w:rPr>
        <w:t>Ayuntamiento de</w:t>
      </w:r>
      <w:r w:rsidR="00860A8A" w:rsidRPr="00860A8A">
        <w:rPr>
          <w:rFonts w:ascii="Palatino Linotype" w:hAnsi="Palatino Linotype" w:cs="Arial"/>
          <w:b/>
          <w:sz w:val="24"/>
          <w:szCs w:val="24"/>
        </w:rPr>
        <w:t xml:space="preserve"> </w:t>
      </w:r>
      <w:r w:rsidR="00570B7C" w:rsidRPr="00A50811">
        <w:rPr>
          <w:rFonts w:ascii="Palatino Linotype" w:hAnsi="Palatino Linotype" w:cs="Arial"/>
          <w:b/>
          <w:sz w:val="24"/>
          <w:szCs w:val="24"/>
        </w:rPr>
        <w:t>Soyaniquilpan de Juárez</w:t>
      </w:r>
      <w:r w:rsidR="00570B7C">
        <w:rPr>
          <w:rFonts w:ascii="Palatino Linotype" w:hAnsi="Palatino Linotype" w:cs="Arial"/>
          <w:b/>
          <w:sz w:val="24"/>
          <w:szCs w:val="24"/>
        </w:rPr>
        <w:t>,</w:t>
      </w:r>
      <w:r w:rsidR="00570B7C">
        <w:rPr>
          <w:rFonts w:ascii="Palatino Linotype" w:hAnsi="Palatino Linotype"/>
          <w:b/>
          <w:sz w:val="24"/>
          <w:szCs w:val="24"/>
        </w:rPr>
        <w:t xml:space="preserve"> </w:t>
      </w:r>
      <w:r w:rsidR="0006430D" w:rsidRPr="00CE55B7">
        <w:rPr>
          <w:rFonts w:ascii="Palatino Linotype" w:hAnsi="Palatino Linotype" w:cs="Arial"/>
          <w:sz w:val="24"/>
          <w:szCs w:val="24"/>
        </w:rPr>
        <w:t xml:space="preserve"> </w:t>
      </w:r>
      <w:r w:rsidRPr="00CE55B7">
        <w:rPr>
          <w:rFonts w:ascii="Palatino Linotype" w:hAnsi="Palatino Linotype" w:cs="Arial"/>
          <w:sz w:val="24"/>
          <w:szCs w:val="24"/>
        </w:rPr>
        <w:t>haga entrega</w:t>
      </w:r>
      <w:r w:rsidR="006F081D">
        <w:rPr>
          <w:rFonts w:ascii="Palatino Linotype" w:hAnsi="Palatino Linotype" w:cs="Arial"/>
          <w:sz w:val="24"/>
          <w:szCs w:val="24"/>
        </w:rPr>
        <w:t xml:space="preserve"> al recurrente, </w:t>
      </w:r>
      <w:r w:rsidRPr="00CE55B7">
        <w:rPr>
          <w:rFonts w:ascii="Palatino Linotype" w:hAnsi="Palatino Linotype" w:cs="Arial"/>
          <w:sz w:val="24"/>
          <w:szCs w:val="24"/>
        </w:rPr>
        <w:t xml:space="preserve"> </w:t>
      </w:r>
      <w:r w:rsidR="006F081D">
        <w:rPr>
          <w:rFonts w:ascii="Palatino Linotype" w:hAnsi="Palatino Linotype" w:cs="Arial"/>
          <w:sz w:val="24"/>
          <w:lang w:eastAsia="es-MX"/>
        </w:rPr>
        <w:t xml:space="preserve">en versión pública, </w:t>
      </w:r>
      <w:r w:rsidR="00436541">
        <w:rPr>
          <w:rFonts w:ascii="Palatino Linotype" w:hAnsi="Palatino Linotype" w:cs="Arial"/>
          <w:sz w:val="24"/>
          <w:lang w:eastAsia="es-MX"/>
        </w:rPr>
        <w:t>a través</w:t>
      </w:r>
      <w:r w:rsidR="00C93875">
        <w:rPr>
          <w:rFonts w:ascii="Palatino Linotype" w:hAnsi="Palatino Linotype" w:cs="Arial"/>
          <w:sz w:val="24"/>
          <w:lang w:eastAsia="es-MX"/>
        </w:rPr>
        <w:t xml:space="preserve"> del </w:t>
      </w:r>
      <w:r w:rsidR="006F081D" w:rsidRPr="006F081D">
        <w:rPr>
          <w:rFonts w:ascii="Palatino Linotype" w:hAnsi="Palatino Linotype" w:cs="Arial"/>
          <w:b/>
          <w:sz w:val="24"/>
          <w:lang w:eastAsia="es-MX"/>
        </w:rPr>
        <w:t>SAIMEX</w:t>
      </w:r>
      <w:r w:rsidR="00930786">
        <w:rPr>
          <w:rFonts w:ascii="Palatino Linotype" w:hAnsi="Palatino Linotype" w:cs="Arial"/>
          <w:sz w:val="24"/>
          <w:lang w:eastAsia="es-MX"/>
        </w:rPr>
        <w:t xml:space="preserve">, </w:t>
      </w:r>
      <w:r w:rsidR="00436541">
        <w:rPr>
          <w:rFonts w:ascii="Palatino Linotype" w:hAnsi="Palatino Linotype" w:cs="Arial"/>
          <w:sz w:val="24"/>
          <w:lang w:eastAsia="es-MX"/>
        </w:rPr>
        <w:t xml:space="preserve"> de </w:t>
      </w:r>
      <w:r w:rsidR="006F081D">
        <w:rPr>
          <w:rFonts w:ascii="Palatino Linotype" w:hAnsi="Palatino Linotype" w:cs="Arial"/>
          <w:sz w:val="24"/>
          <w:lang w:eastAsia="es-MX"/>
        </w:rPr>
        <w:t>lo siguiente:</w:t>
      </w:r>
    </w:p>
    <w:p w:rsidR="00FE3923" w:rsidRPr="00FE3923" w:rsidRDefault="00FE3923" w:rsidP="00FE3923">
      <w:pPr>
        <w:pStyle w:val="Prrafodelista"/>
        <w:rPr>
          <w:rFonts w:ascii="Palatino Linotype" w:hAnsi="Palatino Linotype"/>
          <w:sz w:val="24"/>
          <w:szCs w:val="24"/>
        </w:rPr>
      </w:pP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1. El importe por concepto de alumbrado público facturado por CFE en el Ayuntamiento, desglosado por mes o bimestre,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2. El adeudo del Ayuntamiento por concepto de consumo de energía eléctrica en el alumbrado público ante CFE o cualquier otra empresa suministradora de energía eléctrica.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3. La o las partidas presupuestales que se utilizaron y los montos que se erogaron dentro del presupuesto de egresos municipal para el mantenimiento del sistema de alumbrado público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4. La o las partidas presupuestales que se utilizaron y los montos que se pagaron por mes para cubrir la factura por concepto de consumo de energía eléctrica en el sistema de alumbrado público municipal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5. El número de luminarias que fueron sustituidas, arregladas o transformadas, así como las características y los lugares (avenidas y calles) donde se sustituyeron, colocaron, corrigieron o arreglaron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6. El censo o documento en donde conste los relativo al alumbrado público de los ejercicios 2016, 2017, 2018 o en su caso, el censo más reciente del municipio, en el que se advierta la siguiente información: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a) La cantidad de luminarias y balastros, el tipo de equipos, la capacidad (potencia), la ubicación (calle y/o colonia y/o delegación), y el tipo de poste en el que están montadas las luminarias (lámina, concreto, madera etcétera).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b) La cantidad de luminarias y balastros instalados, el tipo de equipos y su capacidad (potencia) instalados en las avenidas principales del municipio.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c) La cantidad de luminarias y balastros instalados, el tipo de equipos y su capacidad (potencia) instalados que poseen equipo de medición.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7. El Registro Móvil de Usuario asignado(s) al servicio de alumbrado público municipal tanto del servicio estimado como del servicio medido.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8. De los proyectos de electrificación para ampliar el sistema de alumbrado público y ofrecer este servicio a la o las comunidades del periodo que comprende del primero de enero de dos mil trece al trece de noviembre de dos mil dieciocho, remitir la siguiente información: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a) El monto total de la inversión,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b) El tipo o fuente de financiamiento (recurso propio, recurso estatal, recurso federal, crédito, arrendamiento, APP, etcétera),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c) La cantidad de equipos colocados y/o sustituidos,</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d) El tipo de equipos (Led, VSAP, suburbana, etcétera),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e) La capacidad instalada (potencia),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f) La ubicación (calle y/o colonia y/o delegación).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g) La fecha de inicio y término de obra,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h) La fecha de modificación de su nuevo consumo en el sistema de facturación del alumbrado público ante CFE.</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i) Lugar de notificación o publicación de los proyectos.</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9. De los proyectos parciales o totales de modernización de alumbrado público para generar eficiencia energética en sus consumos del periodo que comprende del primero de enero de dos mil trece al trece de noviembre de dos mil dieciocho, remitir la siguiente información: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a) El monto total de la inversión,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b) El tipo o fuente de financiamiento (recurso propio, recurso estatal, recurso federal, crédito, arrendamiento, APP, etcétera),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c) La cantidad de equipos colocados y/o sustituidos,</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d) El tipo de equipos (Led, VSAP, suburbana, etcétera),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e) La capacidad instalada (potencia),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f) La ubicación (calle y/o colonia y/o delegación).</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g) La fecha de inicio y término de obra,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h) La georreferenciación de cada uno de los puntos de luz del nuevo alumbrado público,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i) La fecha de modificación de su nuevo consumo en el sistema de facturación del alumbrado público ante CFE.</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j) El tipo de contrato celebrado para la adquisición de los nuevos equipos (licitación en su modalidad abierta o restringida, o adjudicación directa)</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k) Número y nombre de las empresas concursantes o convocadas.</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l) Los criterios de selección utilizados por el comité de adquisiciones para elegir a la empresa contratada para realizar la modernización del sistema de alumbrado público.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m) El acta de cabildo en el cual se fundamenta, justifica, expone y autoriza el proyecto.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10. El número de solicitudes ciudadanas formales realizadas al Ayuntamiento para ampliar el sistema de alumbrado público mediante proyectos de electrificación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11. El número de solicitudes ciudadanas que fueron atendidas y concluidas para ampliar el sistema de alumbrado público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12. El contrato de prestación de servicios por concepto de suministro de energía eléctrica por parte de la CFE al Ayuntamiento.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13. El último convenio de “Peso por Peso” firmado entre la CFE y el Ayuntamiento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14. El convenio para recaudar el Derecho de Alumbrado Público “DAP” firmado entre la CFE y el Ayuntamiento. Así como la recaudación (monto) reportado por CFE al Ayuntamiento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15. El número de juicios y controversias promovidos por particulares en contra del Ayuntamiento por el cobro del Derecho de Alumbrado Público “DAP”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16. El número de juicios y controversias perdidos y ganados por el Ayuntamiento ante los particulares que reclaman el pago indebido del Derecho de Alumbrado Público del periodo que comprende del primero de enero de dos mil trece al trece de noviembre de dos mil dieciocho.</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lastRenderedPageBreak/>
        <w:t xml:space="preserve">17. Las normas y lineamientos que el municipio sigue para operar y proporcionar el servicio de alumbrado público municipal.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 xml:space="preserve"> </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p>
    <w:p w:rsidR="00186C36" w:rsidRPr="00186C36" w:rsidRDefault="00186C36" w:rsidP="00186C36">
      <w:pPr>
        <w:pStyle w:val="Prrafodelista"/>
        <w:spacing w:before="120" w:after="120" w:line="360" w:lineRule="auto"/>
        <w:ind w:right="49"/>
        <w:jc w:val="both"/>
        <w:rPr>
          <w:rFonts w:ascii="Palatino Linotype" w:hAnsi="Palatino Linotype"/>
          <w:i/>
          <w:sz w:val="24"/>
          <w:szCs w:val="24"/>
        </w:rPr>
      </w:pPr>
      <w:r w:rsidRPr="00186C36">
        <w:rPr>
          <w:rFonts w:ascii="Palatino Linotype" w:hAnsi="Palatino Linotype"/>
          <w:i/>
          <w:sz w:val="24"/>
          <w:szCs w:val="24"/>
        </w:rPr>
        <w:t>En el supuesto de que la información referida en los puntos 2, 9, 10, 11, 13, 14, 15 y 16 no haya sido generada, poseída o administrada por el Sujeto Obligado, bastará con que así lo manifieste.</w:t>
      </w:r>
    </w:p>
    <w:p w:rsidR="00332757" w:rsidRPr="00186C36" w:rsidRDefault="00332757" w:rsidP="00332757">
      <w:pPr>
        <w:pStyle w:val="Prrafodelista"/>
        <w:spacing w:before="120" w:after="120" w:line="360" w:lineRule="auto"/>
        <w:ind w:left="0" w:right="49"/>
        <w:jc w:val="both"/>
        <w:rPr>
          <w:rFonts w:ascii="Palatino Linotype" w:hAnsi="Palatino Linotype"/>
          <w:i/>
          <w:sz w:val="24"/>
          <w:szCs w:val="24"/>
        </w:rPr>
      </w:pPr>
    </w:p>
    <w:p w:rsidR="001A5DCA" w:rsidRPr="00720807" w:rsidRDefault="00594E5C" w:rsidP="001A5DCA">
      <w:pPr>
        <w:pStyle w:val="Prrafodelista"/>
        <w:numPr>
          <w:ilvl w:val="0"/>
          <w:numId w:val="1"/>
        </w:numPr>
        <w:spacing w:before="240" w:after="240" w:line="360" w:lineRule="auto"/>
        <w:ind w:left="0" w:right="49" w:firstLine="0"/>
        <w:jc w:val="both"/>
        <w:rPr>
          <w:rFonts w:ascii="Palatino Linotype" w:eastAsia="Times New Roman" w:hAnsi="Palatino Linotype" w:cs="Arial"/>
          <w:i/>
          <w:sz w:val="24"/>
        </w:rPr>
      </w:pPr>
      <w:r>
        <w:rPr>
          <w:rFonts w:ascii="Palatino Linotype" w:eastAsia="Times New Roman" w:hAnsi="Palatino Linotype" w:cs="Arial"/>
          <w:sz w:val="24"/>
        </w:rPr>
        <w:t>Sin embargo esta ponencia observó que la resolución puntualmente indica lo siguiente</w:t>
      </w:r>
      <w:r w:rsidR="00434E1A" w:rsidRPr="00434E1A">
        <w:rPr>
          <w:rFonts w:ascii="Palatino Linotype" w:eastAsia="Times New Roman" w:hAnsi="Palatino Linotype" w:cs="Arial"/>
          <w:sz w:val="24"/>
        </w:rPr>
        <w:t xml:space="preserve"> </w:t>
      </w:r>
      <w:r w:rsidR="00434E1A">
        <w:rPr>
          <w:rFonts w:ascii="Palatino Linotype" w:eastAsia="Times New Roman" w:hAnsi="Palatino Linotype" w:cs="Arial"/>
          <w:sz w:val="24"/>
        </w:rPr>
        <w:t xml:space="preserve">respecto </w:t>
      </w:r>
      <w:r w:rsidR="001A3506">
        <w:rPr>
          <w:rFonts w:ascii="Palatino Linotype" w:eastAsia="Times New Roman" w:hAnsi="Palatino Linotype" w:cs="Arial"/>
          <w:sz w:val="24"/>
        </w:rPr>
        <w:t>a</w:t>
      </w:r>
      <w:r w:rsidR="003D42E2">
        <w:rPr>
          <w:rFonts w:ascii="Palatino Linotype" w:eastAsia="Times New Roman" w:hAnsi="Palatino Linotype" w:cs="Arial"/>
          <w:sz w:val="24"/>
        </w:rPr>
        <w:t xml:space="preserve"> </w:t>
      </w:r>
      <w:r w:rsidR="00FE3923">
        <w:rPr>
          <w:rFonts w:ascii="Palatino Linotype" w:eastAsia="Times New Roman" w:hAnsi="Palatino Linotype" w:cs="Arial"/>
          <w:sz w:val="24"/>
        </w:rPr>
        <w:t>l</w:t>
      </w:r>
      <w:r w:rsidR="003D42E2">
        <w:rPr>
          <w:rFonts w:ascii="Palatino Linotype" w:eastAsia="Times New Roman" w:hAnsi="Palatino Linotype" w:cs="Arial"/>
          <w:sz w:val="24"/>
        </w:rPr>
        <w:t>a</w:t>
      </w:r>
      <w:r w:rsidR="00AD0558">
        <w:rPr>
          <w:rFonts w:ascii="Palatino Linotype" w:eastAsia="Times New Roman" w:hAnsi="Palatino Linotype" w:cs="Arial"/>
          <w:sz w:val="24"/>
        </w:rPr>
        <w:t xml:space="preserve"> </w:t>
      </w:r>
      <w:r w:rsidR="003D42E2">
        <w:rPr>
          <w:rFonts w:ascii="Palatino Linotype" w:eastAsia="Times New Roman" w:hAnsi="Palatino Linotype" w:cs="Arial"/>
          <w:sz w:val="24"/>
        </w:rPr>
        <w:t>información solicitada</w:t>
      </w:r>
      <w:r w:rsidR="002B02A8">
        <w:rPr>
          <w:rFonts w:ascii="Palatino Linotype" w:eastAsia="Times New Roman" w:hAnsi="Palatino Linotype" w:cs="Arial"/>
          <w:sz w:val="24"/>
        </w:rPr>
        <w:t xml:space="preserve"> en </w:t>
      </w:r>
      <w:r w:rsidR="00186C36">
        <w:rPr>
          <w:rFonts w:ascii="Palatino Linotype" w:eastAsia="Times New Roman" w:hAnsi="Palatino Linotype" w:cs="Arial"/>
          <w:sz w:val="24"/>
        </w:rPr>
        <w:t>los numerales 2, 9, 10, 11, 13, 14, 15 y 16:</w:t>
      </w:r>
    </w:p>
    <w:p w:rsidR="00186C36" w:rsidRDefault="00186C36" w:rsidP="00720807">
      <w:pPr>
        <w:pStyle w:val="Prrafodelista"/>
        <w:spacing w:before="240" w:after="240" w:line="360" w:lineRule="auto"/>
        <w:ind w:left="0" w:right="49"/>
        <w:jc w:val="both"/>
        <w:rPr>
          <w:rFonts w:ascii="Palatino Linotype" w:eastAsia="Times New Roman" w:hAnsi="Palatino Linotype" w:cs="Arial"/>
          <w:i/>
          <w:sz w:val="24"/>
        </w:rPr>
      </w:pPr>
    </w:p>
    <w:p w:rsidR="00FA571E" w:rsidRPr="00186C36" w:rsidRDefault="00186C36" w:rsidP="00720807">
      <w:pPr>
        <w:pStyle w:val="Prrafodelista"/>
        <w:spacing w:before="240" w:after="240" w:line="360" w:lineRule="auto"/>
        <w:ind w:left="0" w:right="49"/>
        <w:jc w:val="both"/>
        <w:rPr>
          <w:rFonts w:ascii="Palatino Linotype" w:eastAsia="Times New Roman" w:hAnsi="Palatino Linotype" w:cs="Arial"/>
          <w:i/>
          <w:sz w:val="24"/>
        </w:rPr>
      </w:pPr>
      <w:r w:rsidRPr="00186C36">
        <w:rPr>
          <w:rFonts w:ascii="Palatino Linotype" w:eastAsia="Times New Roman" w:hAnsi="Palatino Linotype" w:cs="Arial"/>
          <w:i/>
          <w:sz w:val="24"/>
        </w:rPr>
        <w:t>En el supuesto de que la información referida en los puntos 2, 9, 10, 11, 13, 14, 15 y 16 no haya sido generada, poseída o administrada por el Sujeto Obligado, bastará con que así lo manifieste.</w:t>
      </w:r>
    </w:p>
    <w:p w:rsidR="00720807" w:rsidRPr="00B259AE" w:rsidRDefault="00720807" w:rsidP="001A5DCA">
      <w:pPr>
        <w:pStyle w:val="Prrafodelista"/>
        <w:spacing w:before="240" w:after="240" w:line="360" w:lineRule="auto"/>
        <w:ind w:left="0" w:right="49"/>
        <w:jc w:val="both"/>
        <w:rPr>
          <w:rFonts w:ascii="Palatino Linotype" w:eastAsia="Times New Roman" w:hAnsi="Palatino Linotype" w:cs="Arial"/>
          <w:i/>
          <w:sz w:val="24"/>
        </w:rPr>
      </w:pPr>
    </w:p>
    <w:p w:rsidR="00821BFF" w:rsidRPr="003D42E2" w:rsidRDefault="00594E5C" w:rsidP="00821BFF">
      <w:pPr>
        <w:pStyle w:val="Prrafodelista"/>
        <w:numPr>
          <w:ilvl w:val="0"/>
          <w:numId w:val="1"/>
        </w:numPr>
        <w:spacing w:before="240" w:after="240" w:line="360" w:lineRule="auto"/>
        <w:ind w:left="0" w:right="49" w:firstLine="0"/>
        <w:jc w:val="both"/>
        <w:rPr>
          <w:rFonts w:ascii="Palatino Linotype" w:eastAsia="Times New Roman" w:hAnsi="Palatino Linotype" w:cs="Arial"/>
          <w:i/>
          <w:sz w:val="24"/>
        </w:rPr>
      </w:pPr>
      <w:r>
        <w:rPr>
          <w:rFonts w:ascii="Palatino Linotype" w:eastAsia="Times New Roman" w:hAnsi="Palatino Linotype" w:cs="Arial"/>
          <w:sz w:val="24"/>
        </w:rPr>
        <w:lastRenderedPageBreak/>
        <w:t xml:space="preserve">Por esa razón, el ponente se </w:t>
      </w:r>
      <w:r w:rsidR="00C602B8">
        <w:rPr>
          <w:rFonts w:ascii="Palatino Linotype" w:eastAsia="Times New Roman" w:hAnsi="Palatino Linotype" w:cs="Arial"/>
          <w:sz w:val="24"/>
        </w:rPr>
        <w:t>manifestó al</w:t>
      </w:r>
      <w:r>
        <w:rPr>
          <w:rFonts w:ascii="Palatino Linotype" w:eastAsia="Times New Roman" w:hAnsi="Palatino Linotype" w:cs="Arial"/>
          <w:sz w:val="24"/>
        </w:rPr>
        <w:t xml:space="preserve"> respecto enfatizando que en </w:t>
      </w:r>
      <w:r w:rsidR="008216B4" w:rsidRPr="008216B4">
        <w:rPr>
          <w:rFonts w:ascii="Palatino Linotype" w:eastAsia="Times New Roman" w:hAnsi="Palatino Linotype" w:cs="Arial"/>
          <w:sz w:val="24"/>
        </w:rPr>
        <w:t xml:space="preserve">el caso de que el </w:t>
      </w:r>
      <w:r w:rsidR="008216B4" w:rsidRPr="008216B4">
        <w:rPr>
          <w:rFonts w:ascii="Palatino Linotype" w:eastAsia="Times New Roman" w:hAnsi="Palatino Linotype" w:cs="Arial"/>
          <w:b/>
          <w:sz w:val="24"/>
        </w:rPr>
        <w:t xml:space="preserve">SUJETO OBLIGADO </w:t>
      </w:r>
      <w:r w:rsidR="008216B4" w:rsidRPr="008216B4">
        <w:rPr>
          <w:rFonts w:ascii="Palatino Linotype" w:eastAsia="Times New Roman" w:hAnsi="Palatino Linotype" w:cs="Arial"/>
          <w:sz w:val="24"/>
        </w:rPr>
        <w:t>no cuente con la información</w:t>
      </w:r>
      <w:r>
        <w:rPr>
          <w:rFonts w:ascii="Palatino Linotype" w:eastAsia="Times New Roman" w:hAnsi="Palatino Linotype" w:cs="Arial"/>
          <w:sz w:val="24"/>
        </w:rPr>
        <w:t>,</w:t>
      </w:r>
      <w:r w:rsidR="008216B4" w:rsidRPr="008216B4">
        <w:rPr>
          <w:rFonts w:ascii="Palatino Linotype" w:eastAsia="Times New Roman" w:hAnsi="Palatino Linotype" w:cs="Arial"/>
          <w:sz w:val="24"/>
        </w:rPr>
        <w:t xml:space="preserve"> bastará c</w:t>
      </w:r>
      <w:r w:rsidR="008216B4">
        <w:rPr>
          <w:rFonts w:ascii="Palatino Linotype" w:eastAsia="Times New Roman" w:hAnsi="Palatino Linotype" w:cs="Arial"/>
          <w:sz w:val="24"/>
        </w:rPr>
        <w:t>on que se pronuncie</w:t>
      </w:r>
      <w:r w:rsidR="008216B4" w:rsidRPr="008216B4">
        <w:rPr>
          <w:rFonts w:ascii="Palatino Linotype" w:eastAsia="Times New Roman" w:hAnsi="Palatino Linotype" w:cs="Arial"/>
          <w:sz w:val="24"/>
        </w:rPr>
        <w:t xml:space="preserve"> al respecto </w:t>
      </w:r>
      <w:r w:rsidR="008216B4">
        <w:rPr>
          <w:rFonts w:ascii="Palatino Linotype" w:eastAsia="Times New Roman" w:hAnsi="Palatino Linotype" w:cs="Arial"/>
          <w:sz w:val="24"/>
        </w:rPr>
        <w:t>y lo haga del conocimiento del particular.</w:t>
      </w: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Por tal motivo el </w:t>
      </w:r>
      <w:r w:rsidR="00427B79" w:rsidRPr="00427B79">
        <w:rPr>
          <w:rFonts w:ascii="Palatino Linotype" w:eastAsia="Calibri" w:hAnsi="Palatino Linotype" w:cs="Arial"/>
          <w:b/>
          <w:sz w:val="24"/>
          <w:szCs w:val="24"/>
        </w:rPr>
        <w:t>SUJETO OBLIGADO</w:t>
      </w:r>
      <w:r w:rsidR="00427B79" w:rsidRPr="00427B79">
        <w:rPr>
          <w:rFonts w:ascii="Palatino Linotype" w:eastAsia="Calibri" w:hAnsi="Palatino Linotype" w:cs="Arial"/>
          <w:sz w:val="24"/>
          <w:szCs w:val="24"/>
        </w:rPr>
        <w:t xml:space="preserve"> </w:t>
      </w:r>
      <w:r w:rsidRPr="00427B79">
        <w:rPr>
          <w:rFonts w:ascii="Palatino Linotype" w:eastAsia="Calibri" w:hAnsi="Palatino Linotype" w:cs="Arial"/>
          <w:sz w:val="24"/>
          <w:szCs w:val="24"/>
        </w:rPr>
        <w:t>en cuestión debe de demostrar q</w:t>
      </w:r>
      <w:r w:rsidR="009D3902">
        <w:rPr>
          <w:rFonts w:ascii="Palatino Linotype" w:eastAsia="Calibri" w:hAnsi="Palatino Linotype" w:cs="Arial"/>
          <w:sz w:val="24"/>
          <w:szCs w:val="24"/>
        </w:rPr>
        <w:t>ue no genera, posee o administra</w:t>
      </w:r>
      <w:r w:rsidRPr="00427B79">
        <w:rPr>
          <w:rFonts w:ascii="Palatino Linotype" w:eastAsia="Calibri" w:hAnsi="Palatino Linotype" w:cs="Arial"/>
          <w:sz w:val="24"/>
          <w:szCs w:val="24"/>
        </w:rPr>
        <w:t xml:space="preserve"> la informa</w:t>
      </w:r>
      <w:r w:rsidR="008216B4">
        <w:rPr>
          <w:rFonts w:ascii="Palatino Linotype" w:eastAsia="Calibri" w:hAnsi="Palatino Linotype" w:cs="Arial"/>
          <w:sz w:val="24"/>
          <w:szCs w:val="24"/>
        </w:rPr>
        <w:t>ción que requiere el particular, debiendo motivar su respuesta en función de las causas que</w:t>
      </w:r>
      <w:r w:rsidR="00C602B8">
        <w:rPr>
          <w:rFonts w:ascii="Palatino Linotype" w:eastAsia="Calibri" w:hAnsi="Palatino Linotype" w:cs="Arial"/>
          <w:sz w:val="24"/>
          <w:szCs w:val="24"/>
        </w:rPr>
        <w:t xml:space="preserve"> hayan generado</w:t>
      </w:r>
      <w:r w:rsidR="008216B4">
        <w:rPr>
          <w:rFonts w:ascii="Palatino Linotype" w:eastAsia="Calibri" w:hAnsi="Palatino Linotype" w:cs="Arial"/>
          <w:sz w:val="24"/>
          <w:szCs w:val="24"/>
        </w:rPr>
        <w:t xml:space="preserve"> tales circunstancias. </w:t>
      </w:r>
    </w:p>
    <w:p w:rsidR="00680533" w:rsidRPr="00427B79" w:rsidRDefault="00680533" w:rsidP="00680533">
      <w:pPr>
        <w:spacing w:after="0" w:line="360" w:lineRule="auto"/>
        <w:contextualSpacing/>
        <w:jc w:val="both"/>
        <w:rPr>
          <w:rFonts w:ascii="Palatino Linotype" w:eastAsia="Calibri" w:hAnsi="Palatino Linotype" w:cs="Arial"/>
          <w:sz w:val="24"/>
          <w:szCs w:val="24"/>
        </w:rPr>
      </w:pPr>
    </w:p>
    <w:p w:rsidR="0003648B" w:rsidRPr="00427B79" w:rsidRDefault="0003648B" w:rsidP="0003648B">
      <w:pPr>
        <w:pStyle w:val="Ttulo2"/>
        <w:rPr>
          <w:b/>
          <w:szCs w:val="24"/>
        </w:rPr>
      </w:pPr>
      <w:bookmarkStart w:id="3" w:name="_Toc469919070"/>
      <w:bookmarkStart w:id="4" w:name="_Toc2634150"/>
      <w:r w:rsidRPr="00427B79">
        <w:rPr>
          <w:b/>
          <w:szCs w:val="24"/>
        </w:rPr>
        <w:t>II</w:t>
      </w:r>
      <w:r w:rsidR="00680533" w:rsidRPr="00427B79">
        <w:rPr>
          <w:b/>
          <w:szCs w:val="24"/>
        </w:rPr>
        <w:t>I</w:t>
      </w:r>
      <w:r w:rsidRPr="00427B79">
        <w:rPr>
          <w:b/>
          <w:szCs w:val="24"/>
        </w:rPr>
        <w:t>. Del Derecho de Acceso a la información pública y el deber de motivar.</w:t>
      </w:r>
      <w:bookmarkEnd w:id="3"/>
      <w:bookmarkEnd w:id="4"/>
    </w:p>
    <w:p w:rsidR="0003648B" w:rsidRPr="00427B79" w:rsidRDefault="0003648B" w:rsidP="0003648B">
      <w:pPr>
        <w:pStyle w:val="Prrafodelista"/>
        <w:spacing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after="0" w:line="360" w:lineRule="auto"/>
        <w:ind w:left="0" w:firstLine="0"/>
        <w:jc w:val="both"/>
        <w:rPr>
          <w:rFonts w:ascii="Palatino Linotype" w:hAnsi="Palatino Linotype" w:cs="Arial"/>
          <w:sz w:val="24"/>
          <w:szCs w:val="24"/>
        </w:rPr>
      </w:pPr>
      <w:r w:rsidRPr="00427B79">
        <w:rPr>
          <w:rFonts w:ascii="Palatino Linotype" w:eastAsia="Times New Roman" w:hAnsi="Palatino Linotype" w:cs="Arial"/>
          <w:sz w:val="24"/>
          <w:szCs w:val="24"/>
        </w:rPr>
        <w:t xml:space="preserve">Resulta necesario establecer que el derecho de acceso a la información pública es un derecho fundamental reconocido a todas las personas en el artículo 6 de la </w:t>
      </w:r>
      <w:r w:rsidRPr="00427B79">
        <w:rPr>
          <w:rFonts w:ascii="Palatino Linotype" w:eastAsia="Times New Roman" w:hAnsi="Palatino Linotype" w:cs="Arial"/>
          <w:b/>
          <w:sz w:val="24"/>
          <w:szCs w:val="24"/>
        </w:rPr>
        <w:t>Constitución Política de los Estados Unidos Mexicanos</w:t>
      </w:r>
      <w:r w:rsidRPr="00427B79">
        <w:rPr>
          <w:rFonts w:ascii="Palatino Linotype" w:eastAsia="Times New Roman" w:hAnsi="Palatino Linotype" w:cs="Arial"/>
          <w:sz w:val="24"/>
          <w:szCs w:val="24"/>
        </w:rPr>
        <w:t xml:space="preserve">, 13 párrafos 1 y 2 del </w:t>
      </w:r>
      <w:r w:rsidRPr="00427B79">
        <w:rPr>
          <w:rFonts w:ascii="Palatino Linotype" w:eastAsia="Times New Roman" w:hAnsi="Palatino Linotype" w:cs="Arial"/>
          <w:b/>
          <w:sz w:val="24"/>
          <w:szCs w:val="24"/>
        </w:rPr>
        <w:t>Pacto de San José de Costa Rica</w:t>
      </w:r>
      <w:r w:rsidRPr="00427B79">
        <w:rPr>
          <w:rFonts w:ascii="Palatino Linotype" w:eastAsia="Times New Roman" w:hAnsi="Palatino Linotype" w:cs="Arial"/>
          <w:sz w:val="24"/>
          <w:szCs w:val="24"/>
        </w:rPr>
        <w:t xml:space="preserve">, </w:t>
      </w:r>
      <w:r w:rsidRPr="00427B79">
        <w:rPr>
          <w:rFonts w:ascii="Palatino Linotype" w:hAnsi="Palatino Linotype" w:cs="Arial"/>
          <w:sz w:val="24"/>
          <w:szCs w:val="24"/>
        </w:rPr>
        <w:t xml:space="preserve">11, 12, 13 de la </w:t>
      </w:r>
      <w:r w:rsidRPr="00427B79">
        <w:rPr>
          <w:rFonts w:ascii="Palatino Linotype" w:hAnsi="Palatino Linotype"/>
          <w:b/>
          <w:sz w:val="24"/>
          <w:szCs w:val="24"/>
        </w:rPr>
        <w:t>Ley General de Transparencia y Acceso a la Información Pública</w:t>
      </w:r>
      <w:r w:rsidRPr="00427B79">
        <w:rPr>
          <w:rFonts w:ascii="Palatino Linotype" w:eastAsia="Times New Roman" w:hAnsi="Palatino Linotype" w:cs="Arial"/>
          <w:sz w:val="24"/>
          <w:szCs w:val="24"/>
        </w:rPr>
        <w:t xml:space="preserve"> y 5 de la </w:t>
      </w:r>
      <w:r w:rsidRPr="00427B79">
        <w:rPr>
          <w:rFonts w:ascii="Palatino Linotype" w:eastAsia="Times New Roman" w:hAnsi="Palatino Linotype" w:cs="Arial"/>
          <w:b/>
          <w:sz w:val="24"/>
          <w:szCs w:val="24"/>
        </w:rPr>
        <w:t>Constitución Política del Estado Libre y Soberano de México</w:t>
      </w:r>
      <w:r w:rsidRPr="00427B79">
        <w:rPr>
          <w:rFonts w:ascii="Palatino Linotype" w:eastAsia="Times New Roman" w:hAnsi="Palatino Linotype" w:cs="Arial"/>
          <w:sz w:val="24"/>
          <w:szCs w:val="24"/>
        </w:rPr>
        <w:t>; y</w:t>
      </w:r>
      <w:r w:rsidRPr="00427B79">
        <w:rPr>
          <w:rFonts w:ascii="Palatino Linotype" w:eastAsia="Times New Roman" w:hAnsi="Palatino Linotype" w:cs="Arial"/>
          <w:b/>
          <w:sz w:val="24"/>
          <w:szCs w:val="24"/>
        </w:rPr>
        <w:t xml:space="preserve">, </w:t>
      </w:r>
      <w:r w:rsidRPr="00427B79">
        <w:rPr>
          <w:rFonts w:ascii="Palatino Linotype" w:eastAsia="Times New Roman" w:hAnsi="Palatino Linotype" w:cs="Arial"/>
          <w:sz w:val="24"/>
          <w:szCs w:val="24"/>
        </w:rPr>
        <w:t xml:space="preserve">razón por la cual todos los órganos del </w:t>
      </w:r>
      <w:r w:rsidRPr="00427B79">
        <w:rPr>
          <w:rFonts w:ascii="Palatino Linotype" w:eastAsia="Times New Roman" w:hAnsi="Palatino Linotype" w:cs="Arial"/>
          <w:b/>
          <w:sz w:val="24"/>
          <w:szCs w:val="24"/>
        </w:rPr>
        <w:t>Estado</w:t>
      </w:r>
      <w:r w:rsidRPr="00427B79">
        <w:rPr>
          <w:rFonts w:ascii="Palatino Linotype" w:eastAsia="Times New Roman" w:hAnsi="Palatino Linotype" w:cs="Arial"/>
          <w:sz w:val="24"/>
          <w:szCs w:val="24"/>
        </w:rPr>
        <w:t xml:space="preserve"> están obligados no sólo a reconocerlo sino aún más, a salvaguardarlo y en caso de contravención, a este Instituto le corresponde restituirlo.</w:t>
      </w:r>
    </w:p>
    <w:p w:rsidR="0003648B" w:rsidRPr="00427B79" w:rsidRDefault="0003648B" w:rsidP="0003648B">
      <w:pPr>
        <w:pStyle w:val="Prrafodelista"/>
        <w:spacing w:after="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cs="Arial"/>
          <w:bCs/>
          <w:color w:val="000000" w:themeColor="text1"/>
          <w:sz w:val="24"/>
          <w:szCs w:val="24"/>
        </w:rPr>
        <w:t>En efecto, el derecho fundamental de acceso a la información pública se desarrolla en varias vertientes:</w:t>
      </w:r>
    </w:p>
    <w:p w:rsidR="0003648B" w:rsidRPr="00427B79" w:rsidRDefault="0003648B" w:rsidP="0003648B">
      <w:pPr>
        <w:pStyle w:val="Prrafodelista"/>
        <w:spacing w:before="240" w:after="240" w:line="360" w:lineRule="auto"/>
        <w:ind w:left="851"/>
        <w:jc w:val="both"/>
        <w:rPr>
          <w:rFonts w:ascii="Palatino Linotype" w:hAnsi="Palatino Linotype" w:cs="Arial"/>
          <w:sz w:val="24"/>
          <w:szCs w:val="24"/>
        </w:rPr>
      </w:pP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lastRenderedPageBreak/>
        <w:t>Impone al Estado la obligación de protegerlo. Esto es, es suficiente con que una persona realice una solicitud de información para que la autoridad la atienda y entregue lo solicitado, salvo excepciones limitadas.</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Otorga a todos los documentos en posesión de las autoridades la calidad de públicos y únicamente pueden ser reservados temporalmente por razones de interés público y en los términos expresamente señalados en la ley.</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Este derecho se rige por el principio de máxima publicidad, es decir, la información que generan, administren o posean los organismos públicos son documentos de acceso a cualquier persona y para su restricción debe existir un bien jurídico mayor que proteger.</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al Legislativo la obligación de crear una ley que establezca los procedimientos para su protección, respeto y difusión.</w:t>
      </w:r>
    </w:p>
    <w:p w:rsidR="0003648B" w:rsidRPr="00427B79" w:rsidRDefault="0003648B" w:rsidP="00B41044">
      <w:pPr>
        <w:pStyle w:val="Prrafodelista"/>
        <w:numPr>
          <w:ilvl w:val="0"/>
          <w:numId w:val="3"/>
        </w:numPr>
        <w:autoSpaceDE w:val="0"/>
        <w:autoSpaceDN w:val="0"/>
        <w:adjustRightInd w:val="0"/>
        <w:spacing w:before="240" w:after="240" w:line="360" w:lineRule="auto"/>
        <w:ind w:left="567" w:right="616" w:firstLine="0"/>
        <w:jc w:val="both"/>
        <w:rPr>
          <w:rFonts w:ascii="Palatino Linotype" w:hAnsi="Palatino Linotype" w:cs="Arial"/>
          <w:bCs/>
          <w:color w:val="000000" w:themeColor="text1"/>
          <w:sz w:val="24"/>
          <w:szCs w:val="24"/>
        </w:rPr>
      </w:pPr>
      <w:r w:rsidRPr="00427B79">
        <w:rPr>
          <w:rFonts w:ascii="Palatino Linotype" w:hAnsi="Palatino Linotype" w:cs="Arial"/>
          <w:bCs/>
          <w:color w:val="000000" w:themeColor="text1"/>
          <w:sz w:val="24"/>
          <w:szCs w:val="24"/>
        </w:rPr>
        <w:t>Impone el</w:t>
      </w:r>
      <w:r w:rsidRPr="00427B79">
        <w:rPr>
          <w:rFonts w:ascii="Palatino Linotype" w:hAnsi="Palatino Linotype"/>
          <w:bCs/>
          <w:color w:val="000000" w:themeColor="text1"/>
          <w:sz w:val="24"/>
          <w:szCs w:val="24"/>
        </w:rPr>
        <w:t xml:space="preserve"> </w:t>
      </w:r>
      <w:hyperlink r:id="rId12" w:tooltip="Derechos civiles y políticos" w:history="1">
        <w:r w:rsidRPr="00427B79">
          <w:rPr>
            <w:rFonts w:ascii="Palatino Linotype" w:hAnsi="Palatino Linotype"/>
            <w:bCs/>
            <w:color w:val="000000" w:themeColor="text1"/>
            <w:sz w:val="24"/>
            <w:szCs w:val="24"/>
          </w:rPr>
          <w:t>derecho</w:t>
        </w:r>
      </w:hyperlink>
      <w:r w:rsidRPr="00427B79">
        <w:rPr>
          <w:rFonts w:ascii="Palatino Linotype" w:hAnsi="Palatino Linotype"/>
          <w:bCs/>
          <w:color w:val="000000" w:themeColor="text1"/>
          <w:sz w:val="24"/>
          <w:szCs w:val="24"/>
        </w:rPr>
        <w:t xml:space="preserve"> </w:t>
      </w:r>
      <w:r w:rsidRPr="00427B79">
        <w:rPr>
          <w:rFonts w:ascii="Palatino Linotype" w:hAnsi="Palatino Linotype" w:cs="Arial"/>
          <w:bCs/>
          <w:color w:val="000000" w:themeColor="text1"/>
          <w:sz w:val="24"/>
          <w:szCs w:val="24"/>
        </w:rPr>
        <w:t xml:space="preserve">de una persona de buscar, </w:t>
      </w:r>
      <w:r w:rsidRPr="00427B79">
        <w:rPr>
          <w:rFonts w:ascii="Palatino Linotype" w:hAnsi="Palatino Linotype" w:cs="Arial"/>
          <w:b/>
          <w:bCs/>
          <w:color w:val="000000" w:themeColor="text1"/>
          <w:sz w:val="24"/>
          <w:szCs w:val="24"/>
          <w:u w:val="single"/>
        </w:rPr>
        <w:t xml:space="preserve">recibir </w:t>
      </w:r>
      <w:r w:rsidRPr="00427B79">
        <w:rPr>
          <w:rFonts w:ascii="Palatino Linotype" w:hAnsi="Palatino Linotype" w:cs="Arial"/>
          <w:bCs/>
          <w:color w:val="000000" w:themeColor="text1"/>
          <w:sz w:val="24"/>
          <w:szCs w:val="24"/>
        </w:rPr>
        <w:t>y difundir información en poder del gobierno u administraciones públicas.</w:t>
      </w:r>
    </w:p>
    <w:p w:rsidR="0003648B" w:rsidRPr="00427B79" w:rsidRDefault="0003648B" w:rsidP="0003648B">
      <w:pPr>
        <w:pStyle w:val="Prrafodelista"/>
        <w:autoSpaceDE w:val="0"/>
        <w:autoSpaceDN w:val="0"/>
        <w:adjustRightInd w:val="0"/>
        <w:spacing w:before="240" w:after="240" w:line="360" w:lineRule="auto"/>
        <w:ind w:left="567" w:right="616"/>
        <w:jc w:val="both"/>
        <w:rPr>
          <w:rFonts w:ascii="Palatino Linotype" w:hAnsi="Palatino Linotype" w:cs="Arial"/>
          <w:bCs/>
          <w:color w:val="000000" w:themeColor="text1"/>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cs="Arial"/>
          <w:sz w:val="24"/>
          <w:szCs w:val="24"/>
        </w:rPr>
        <w:lastRenderedPageBreak/>
        <w:t xml:space="preserve">Por tanto, para que los </w:t>
      </w:r>
      <w:r w:rsidRPr="00427B79">
        <w:rPr>
          <w:rFonts w:ascii="Palatino Linotype" w:hAnsi="Palatino Linotype" w:cs="Arial"/>
          <w:b/>
          <w:sz w:val="24"/>
          <w:szCs w:val="24"/>
        </w:rPr>
        <w:t>SUJETOS OBLIGADOS</w:t>
      </w:r>
      <w:r w:rsidRPr="00427B79">
        <w:rPr>
          <w:rFonts w:ascii="Palatino Linotype" w:hAnsi="Palatino Linotype" w:cs="Arial"/>
          <w:sz w:val="24"/>
          <w:szCs w:val="24"/>
        </w:rPr>
        <w:t xml:space="preserve"> hagan efectivo el derecho de las personas de </w:t>
      </w:r>
      <w:r w:rsidRPr="00427B79">
        <w:rPr>
          <w:rFonts w:ascii="Palatino Linotype" w:hAnsi="Palatino Linotype" w:cs="Arial"/>
          <w:b/>
          <w:sz w:val="24"/>
          <w:szCs w:val="24"/>
        </w:rPr>
        <w:t>buscar, recibir y difundir información pública</w:t>
      </w:r>
      <w:r w:rsidRPr="00427B79">
        <w:rPr>
          <w:rFonts w:ascii="Palatino Linotype" w:hAnsi="Palatino Linotype" w:cs="Arial"/>
          <w:sz w:val="24"/>
          <w:szCs w:val="24"/>
        </w:rPr>
        <w:t xml:space="preserve">, información que los </w:t>
      </w:r>
      <w:r w:rsidRPr="00427B79">
        <w:rPr>
          <w:rFonts w:ascii="Palatino Linotype" w:hAnsi="Palatino Linotype" w:cs="Arial"/>
          <w:b/>
          <w:sz w:val="24"/>
          <w:szCs w:val="24"/>
        </w:rPr>
        <w:t>SUJETOS OBLIGADOS</w:t>
      </w:r>
      <w:r w:rsidRPr="00427B79">
        <w:rPr>
          <w:rFonts w:ascii="Palatino Linotype" w:hAnsi="Palatino Linotype" w:cs="Arial"/>
          <w:sz w:val="24"/>
          <w:szCs w:val="24"/>
        </w:rPr>
        <w:t xml:space="preserve"> generen, administren o posean, y que deben poner a disposición de los particulares los documentos en los que conste el ejercicio de sus atribuciones legales o que por cualquier circunstancia obre en sus archivos.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Por otra parte, tenemos la rendición de cuenta pública; que supone la capacidad de las instituciones para hacer responsables a los gobernantes de sus actos y decisiones en los distintos niveles de poder, eso permite evitar, prevenir y en su caso, castigar el abuso de poder.</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 xml:space="preserve">Por lo tanto, el principio de la rendición de cuentas y la transparencia encuentran un objetivo en común, buscar conciliar el interés colectivo con el interés particular de los gobernantes, si los gobernantes, funcionarios, representantes y </w:t>
      </w:r>
      <w:r w:rsidRPr="00427B79">
        <w:rPr>
          <w:rFonts w:ascii="Palatino Linotype" w:hAnsi="Palatino Linotype"/>
          <w:sz w:val="24"/>
          <w:szCs w:val="24"/>
        </w:rPr>
        <w:lastRenderedPageBreak/>
        <w:t>líderes políticos, es decir, todos los que dispongan de algún poder político, saben que puedan ser llamados a cuentas, que su acción política, su desempeño gubernamental y sus decisiones podrán generar efectos positivos o negativos a su interés personal, tendrán mayor diligencia en el momento de ejercer el poder y atenderán, tanto el interés colectivo como la relación de medios y fines en el quehacer gubernamental, precisamente para que el resultado de sus resoluciones no afecte o perjudique el interés general o el particular de sus gobernados y representados.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 xml:space="preserve">La Constitución Política de los Estados Unidos Mexicanos, adopta la </w:t>
      </w:r>
      <w:r w:rsidRPr="00427B79">
        <w:rPr>
          <w:rFonts w:ascii="Palatino Linotype" w:hAnsi="Palatino Linotype"/>
          <w:i/>
          <w:sz w:val="24"/>
          <w:szCs w:val="24"/>
        </w:rPr>
        <w:t>ratio decidendi</w:t>
      </w:r>
      <w:r w:rsidRPr="00427B79">
        <w:rPr>
          <w:rFonts w:ascii="Palatino Linotype" w:hAnsi="Palatino Linotype"/>
          <w:sz w:val="24"/>
          <w:szCs w:val="24"/>
        </w:rPr>
        <w:t xml:space="preserve"> en la sentencia de la Corte Interamericana de Derechos Humanos, de que en principio es posible acceder a toda información pública, salvo que la ley de manera justificada, proporcionada y razonable establezca alguna restricción a dicho acceso, de modo que las restricciones están limitadas en el tiempo, pues el principio acogido es el de la máxima publicidad. Obviamente, este acceso se garantiza sin menoscabo de la intimidad de la vida privada y de los datos personales.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427B79"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427B79">
        <w:rPr>
          <w:rFonts w:ascii="Palatino Linotype" w:hAnsi="Palatino Linotype"/>
          <w:sz w:val="24"/>
          <w:szCs w:val="24"/>
        </w:rPr>
        <w:t>Por estas razones las leyes de transparencia y acceso a la información en México, tienen como objetivo primordial el garantizar que los ciudadanos puedan solicitar documentos que poseen las instituciones gubernamentales.</w:t>
      </w:r>
    </w:p>
    <w:p w:rsidR="0003648B" w:rsidRPr="00427B79" w:rsidRDefault="0003648B" w:rsidP="0003648B">
      <w:pPr>
        <w:pStyle w:val="Prrafodelista"/>
        <w:spacing w:before="240" w:after="240" w:line="360" w:lineRule="auto"/>
        <w:ind w:left="0"/>
        <w:jc w:val="both"/>
        <w:rPr>
          <w:rFonts w:ascii="Palatino Linotype" w:hAnsi="Palatino Linotype" w:cs="Arial"/>
          <w:sz w:val="24"/>
          <w:szCs w:val="24"/>
          <w:highlight w:val="lightGray"/>
        </w:rPr>
      </w:pPr>
    </w:p>
    <w:p w:rsidR="0003648B" w:rsidRPr="00D35B4C" w:rsidRDefault="0003648B" w:rsidP="000921E9">
      <w:pPr>
        <w:pStyle w:val="Prrafodelista"/>
        <w:numPr>
          <w:ilvl w:val="0"/>
          <w:numId w:val="1"/>
        </w:numPr>
        <w:spacing w:before="240" w:after="240" w:line="360" w:lineRule="auto"/>
        <w:ind w:left="0" w:firstLine="0"/>
        <w:jc w:val="both"/>
        <w:rPr>
          <w:rFonts w:ascii="Palatino Linotype" w:hAnsi="Palatino Linotype" w:cs="Arial"/>
          <w:sz w:val="24"/>
          <w:szCs w:val="24"/>
        </w:rPr>
      </w:pPr>
      <w:r w:rsidRPr="00D35B4C">
        <w:rPr>
          <w:rFonts w:ascii="Palatino Linotype" w:hAnsi="Palatino Linotype"/>
          <w:sz w:val="24"/>
          <w:szCs w:val="24"/>
        </w:rPr>
        <w:lastRenderedPageBreak/>
        <w:t>En efecto, la Ley de Transparencia y Acceso a la Información Pública del Estado de México y Municipios, su propósito es transparentar el ejercicio de la función pública, tutelar y garantizar a toda persona, el ejercicio del derecho de acceso a la información pública, a sus datos personales, así como a la corrección y supresión de éstos y proteger los datos personales que se encuentren en posesión de los sujetos obligados.</w:t>
      </w:r>
    </w:p>
    <w:p w:rsidR="0003648B" w:rsidRPr="00D35B4C" w:rsidRDefault="0003648B" w:rsidP="0003648B">
      <w:pPr>
        <w:pStyle w:val="Prrafodelista"/>
        <w:spacing w:before="240" w:after="240" w:line="360" w:lineRule="auto"/>
        <w:ind w:left="0"/>
        <w:jc w:val="both"/>
        <w:rPr>
          <w:rFonts w:ascii="Palatino Linotype" w:hAnsi="Palatino Linotype" w:cs="Arial"/>
          <w:sz w:val="24"/>
          <w:szCs w:val="24"/>
        </w:rPr>
      </w:pPr>
    </w:p>
    <w:p w:rsidR="0003648B" w:rsidRPr="00D35B4C" w:rsidRDefault="0003648B" w:rsidP="000921E9">
      <w:pPr>
        <w:pStyle w:val="Prrafodelista"/>
        <w:numPr>
          <w:ilvl w:val="0"/>
          <w:numId w:val="1"/>
        </w:numPr>
        <w:pBdr>
          <w:top w:val="nil"/>
          <w:left w:val="nil"/>
          <w:bottom w:val="nil"/>
          <w:right w:val="nil"/>
          <w:between w:val="nil"/>
          <w:bar w:val="nil"/>
        </w:pBdr>
        <w:spacing w:before="240" w:after="240" w:line="360" w:lineRule="auto"/>
        <w:ind w:left="0" w:firstLine="0"/>
        <w:jc w:val="both"/>
        <w:rPr>
          <w:rFonts w:ascii="Palatino Linotype" w:hAnsi="Palatino Linotype"/>
          <w:sz w:val="24"/>
          <w:szCs w:val="24"/>
        </w:rPr>
      </w:pPr>
      <w:r w:rsidRPr="00D35B4C">
        <w:rPr>
          <w:rFonts w:ascii="Palatino Linotype" w:hAnsi="Palatino Linotype"/>
          <w:sz w:val="24"/>
          <w:szCs w:val="24"/>
        </w:rPr>
        <w:t xml:space="preserve">Derivado de dicha obligación se impone también la obligación de </w:t>
      </w:r>
      <w:r w:rsidRPr="00D35B4C">
        <w:rPr>
          <w:rFonts w:ascii="Palatino Linotype" w:hAnsi="Palatino Linotype"/>
          <w:bCs/>
          <w:color w:val="000000" w:themeColor="text1"/>
          <w:sz w:val="24"/>
          <w:szCs w:val="24"/>
        </w:rPr>
        <w:t>preservar sus documentos en archivos administrativos actualizados y publicarán a través de los medios electrónicos disponibles, la información que posean generen o administren de forma completa y actualizada.</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D35B4C" w:rsidRDefault="0003648B" w:rsidP="000921E9">
      <w:pPr>
        <w:pStyle w:val="Prrafodelista"/>
        <w:numPr>
          <w:ilvl w:val="0"/>
          <w:numId w:val="1"/>
        </w:numPr>
        <w:spacing w:before="240" w:after="240" w:line="360" w:lineRule="auto"/>
        <w:ind w:left="0" w:firstLine="0"/>
        <w:jc w:val="both"/>
        <w:rPr>
          <w:rFonts w:ascii="Palatino Linotype" w:hAnsi="Palatino Linotype"/>
          <w:bCs/>
          <w:color w:val="000000" w:themeColor="text1"/>
          <w:sz w:val="24"/>
          <w:szCs w:val="24"/>
        </w:rPr>
      </w:pPr>
      <w:r w:rsidRPr="00D35B4C">
        <w:rPr>
          <w:rFonts w:ascii="Palatino Linotype" w:hAnsi="Palatino Linotype"/>
          <w:sz w:val="24"/>
          <w:szCs w:val="24"/>
        </w:rPr>
        <w:t>Bajo la tesitura de lo anteriormente expuesto</w:t>
      </w:r>
      <w:r w:rsidRPr="00D35B4C">
        <w:rPr>
          <w:rFonts w:ascii="Palatino Linotype" w:hAnsi="Palatino Linotype"/>
          <w:bCs/>
          <w:color w:val="000000" w:themeColor="text1"/>
          <w:sz w:val="24"/>
          <w:szCs w:val="24"/>
        </w:rPr>
        <w:t xml:space="preserve"> </w:t>
      </w:r>
      <w:r w:rsidRPr="00D35B4C">
        <w:rPr>
          <w:rFonts w:ascii="Palatino Linotype" w:hAnsi="Palatino Linotype"/>
          <w:sz w:val="24"/>
          <w:szCs w:val="24"/>
        </w:rPr>
        <w:t xml:space="preserve">se presume que la información debe existir si se refiere a las facultades, competencias y funciones que los ordenamientos jurídicos aplicables otorgan a los sujetos obligados. </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427B79" w:rsidRDefault="00D35B4C" w:rsidP="000921E9">
      <w:pPr>
        <w:pStyle w:val="Prrafodelista"/>
        <w:numPr>
          <w:ilvl w:val="0"/>
          <w:numId w:val="1"/>
        </w:numPr>
        <w:spacing w:before="240" w:after="240" w:line="360" w:lineRule="auto"/>
        <w:ind w:left="0" w:firstLine="0"/>
        <w:jc w:val="both"/>
        <w:rPr>
          <w:rFonts w:ascii="Palatino Linotype" w:hAnsi="Palatino Linotype"/>
          <w:bCs/>
          <w:color w:val="000000" w:themeColor="text1"/>
          <w:sz w:val="24"/>
          <w:szCs w:val="24"/>
          <w:highlight w:val="lightGray"/>
        </w:rPr>
      </w:pPr>
      <w:r w:rsidRPr="00D35B4C">
        <w:rPr>
          <w:rFonts w:ascii="Palatino Linotype" w:hAnsi="Palatino Linotype"/>
          <w:bCs/>
          <w:color w:val="000000" w:themeColor="text1"/>
          <w:sz w:val="24"/>
          <w:szCs w:val="24"/>
        </w:rPr>
        <w:t xml:space="preserve">Por lo que si en los puntos resolutivos </w:t>
      </w:r>
      <w:r w:rsidR="0003648B" w:rsidRPr="00D35B4C">
        <w:rPr>
          <w:rFonts w:ascii="Palatino Linotype" w:hAnsi="Palatino Linotype"/>
          <w:bCs/>
          <w:color w:val="000000" w:themeColor="text1"/>
          <w:sz w:val="24"/>
          <w:szCs w:val="24"/>
        </w:rPr>
        <w:t xml:space="preserve">se está ordenando </w:t>
      </w:r>
      <w:r>
        <w:rPr>
          <w:rFonts w:ascii="Palatino Linotype" w:hAnsi="Palatino Linotype"/>
          <w:bCs/>
          <w:color w:val="000000" w:themeColor="text1"/>
          <w:sz w:val="24"/>
          <w:szCs w:val="24"/>
        </w:rPr>
        <w:t xml:space="preserve">al </w:t>
      </w:r>
      <w:r w:rsidRPr="00D35B4C">
        <w:rPr>
          <w:rFonts w:ascii="Palatino Linotype" w:hAnsi="Palatino Linotype"/>
          <w:b/>
          <w:bCs/>
          <w:color w:val="000000" w:themeColor="text1"/>
          <w:sz w:val="24"/>
          <w:szCs w:val="24"/>
        </w:rPr>
        <w:t>SUJETO OBLIGADO</w:t>
      </w:r>
      <w:r>
        <w:rPr>
          <w:rFonts w:ascii="Palatino Linotype" w:hAnsi="Palatino Linotype"/>
          <w:bCs/>
          <w:color w:val="000000" w:themeColor="text1"/>
          <w:sz w:val="24"/>
          <w:szCs w:val="24"/>
        </w:rPr>
        <w:t xml:space="preserve"> </w:t>
      </w:r>
      <w:r>
        <w:rPr>
          <w:rFonts w:ascii="Palatino Linotype" w:hAnsi="Palatino Linotype" w:cs="Arial"/>
          <w:sz w:val="24"/>
          <w:szCs w:val="24"/>
        </w:rPr>
        <w:t xml:space="preserve">realizar una búsqueda de la información solicitada en términos del </w:t>
      </w:r>
      <w:r w:rsidRPr="00D35B4C">
        <w:rPr>
          <w:rFonts w:ascii="Palatino Linotype" w:hAnsi="Palatino Linotype" w:cs="Arial"/>
          <w:sz w:val="24"/>
          <w:szCs w:val="24"/>
        </w:rPr>
        <w:t xml:space="preserve">Considerando </w:t>
      </w:r>
      <w:r w:rsidRPr="00D35B4C">
        <w:rPr>
          <w:rFonts w:ascii="Palatino Linotype" w:hAnsi="Palatino Linotype" w:cs="Arial"/>
          <w:b/>
          <w:sz w:val="24"/>
          <w:szCs w:val="24"/>
        </w:rPr>
        <w:t>CUARTO</w:t>
      </w:r>
      <w:r w:rsidRPr="00D35B4C">
        <w:rPr>
          <w:rFonts w:ascii="Palatino Linotype" w:hAnsi="Palatino Linotype" w:cs="Arial"/>
          <w:sz w:val="24"/>
          <w:szCs w:val="24"/>
        </w:rPr>
        <w:t xml:space="preserve">, y entregarla al particular </w:t>
      </w:r>
      <w:r w:rsidR="0003648B" w:rsidRPr="00D35B4C">
        <w:rPr>
          <w:rFonts w:ascii="Palatino Linotype" w:hAnsi="Palatino Linotype" w:cs="Arial"/>
          <w:sz w:val="24"/>
          <w:szCs w:val="24"/>
        </w:rPr>
        <w:t>ya no cabe la manifestación simple y llana, sino que se deben observar dos puntos importantes:</w:t>
      </w:r>
    </w:p>
    <w:p w:rsidR="0003648B" w:rsidRPr="00427B79" w:rsidRDefault="0003648B" w:rsidP="0003648B">
      <w:pPr>
        <w:pStyle w:val="Prrafodelista"/>
        <w:spacing w:before="240" w:after="240" w:line="360" w:lineRule="auto"/>
        <w:ind w:left="0"/>
        <w:jc w:val="both"/>
        <w:rPr>
          <w:rFonts w:ascii="Palatino Linotype" w:hAnsi="Palatino Linotype"/>
          <w:bCs/>
          <w:color w:val="000000" w:themeColor="text1"/>
          <w:sz w:val="24"/>
          <w:szCs w:val="24"/>
          <w:highlight w:val="lightGray"/>
        </w:rPr>
      </w:pPr>
    </w:p>
    <w:p w:rsidR="0003648B" w:rsidRPr="00D35B4C" w:rsidRDefault="0003648B" w:rsidP="00B41044">
      <w:pPr>
        <w:pStyle w:val="Prrafodelista"/>
        <w:numPr>
          <w:ilvl w:val="0"/>
          <w:numId w:val="4"/>
        </w:numPr>
        <w:spacing w:before="240" w:after="240" w:line="360" w:lineRule="auto"/>
        <w:ind w:left="567" w:right="616" w:firstLine="0"/>
        <w:jc w:val="both"/>
        <w:rPr>
          <w:rFonts w:ascii="Palatino Linotype" w:hAnsi="Palatino Linotype"/>
          <w:bCs/>
          <w:color w:val="000000" w:themeColor="text1"/>
          <w:sz w:val="24"/>
          <w:szCs w:val="24"/>
        </w:rPr>
      </w:pPr>
      <w:r w:rsidRPr="00D35B4C">
        <w:rPr>
          <w:rFonts w:ascii="Palatino Linotype" w:hAnsi="Palatino Linotype"/>
          <w:bCs/>
          <w:color w:val="000000" w:themeColor="text1"/>
          <w:sz w:val="24"/>
          <w:szCs w:val="24"/>
        </w:rPr>
        <w:lastRenderedPageBreak/>
        <w:t xml:space="preserve">Si la posesión de la información es de carácter inexcusable, es decir </w:t>
      </w:r>
      <w:r w:rsidRPr="00D35B4C">
        <w:rPr>
          <w:rFonts w:ascii="Palatino Linotype" w:hAnsi="Palatino Linotype"/>
          <w:sz w:val="24"/>
          <w:szCs w:val="24"/>
        </w:rPr>
        <w:t>si el sujeto obligado, en el ejercicio de sus atribuciones, debía generar, poseer o administrar la información, pero ésta</w:t>
      </w:r>
      <w:r w:rsidR="00D35B4C">
        <w:rPr>
          <w:rFonts w:ascii="Palatino Linotype" w:hAnsi="Palatino Linotype"/>
          <w:sz w:val="24"/>
          <w:szCs w:val="24"/>
        </w:rPr>
        <w:t xml:space="preserve"> no se encuentra, el Comité de T</w:t>
      </w:r>
      <w:r w:rsidRPr="00D35B4C">
        <w:rPr>
          <w:rFonts w:ascii="Palatino Linotype" w:hAnsi="Palatino Linotype"/>
          <w:sz w:val="24"/>
          <w:szCs w:val="24"/>
        </w:rPr>
        <w:t>ransparencia deberá emitir un acuerdo de inexistencia.</w:t>
      </w:r>
    </w:p>
    <w:p w:rsidR="0003648B" w:rsidRPr="00D35B4C" w:rsidRDefault="0003648B" w:rsidP="00D35B4C">
      <w:pPr>
        <w:pStyle w:val="Prrafodelista"/>
        <w:spacing w:before="240" w:after="240" w:line="360" w:lineRule="auto"/>
        <w:ind w:left="567" w:right="616"/>
        <w:jc w:val="both"/>
        <w:rPr>
          <w:rFonts w:ascii="Palatino Linotype" w:hAnsi="Palatino Linotype"/>
          <w:bCs/>
          <w:color w:val="000000" w:themeColor="text1"/>
          <w:sz w:val="24"/>
          <w:szCs w:val="24"/>
        </w:rPr>
      </w:pPr>
    </w:p>
    <w:p w:rsidR="0003648B" w:rsidRPr="00D35B4C" w:rsidRDefault="0003648B" w:rsidP="00B41044">
      <w:pPr>
        <w:pStyle w:val="Prrafodelista"/>
        <w:numPr>
          <w:ilvl w:val="0"/>
          <w:numId w:val="4"/>
        </w:numPr>
        <w:spacing w:before="240" w:after="240" w:line="360" w:lineRule="auto"/>
        <w:ind w:left="567" w:right="616" w:firstLine="0"/>
        <w:jc w:val="both"/>
        <w:rPr>
          <w:rFonts w:ascii="Palatino Linotype" w:hAnsi="Palatino Linotype"/>
          <w:bCs/>
          <w:color w:val="000000" w:themeColor="text1"/>
          <w:sz w:val="24"/>
          <w:szCs w:val="24"/>
        </w:rPr>
      </w:pPr>
      <w:r w:rsidRPr="00D35B4C">
        <w:rPr>
          <w:rFonts w:ascii="Palatino Linotype" w:hAnsi="Palatino Linotype"/>
          <w:sz w:val="24"/>
          <w:szCs w:val="24"/>
        </w:rPr>
        <w:t>O bien pudiera suscitarse el supuesto aplicable al presente asunto, que la facultad sea de carácter potestativo o que su realización dependa de un carácter externo, en ese caso debe señalarse se debe motivar la respuesta en función de las causas que motiven tal circunstancia, en el que detalle las razones del por qué no obra en sus archivos.</w:t>
      </w:r>
    </w:p>
    <w:p w:rsidR="0003648B" w:rsidRPr="00427B79" w:rsidRDefault="0003648B" w:rsidP="0003648B">
      <w:pPr>
        <w:pStyle w:val="Prrafodelista"/>
        <w:spacing w:before="240" w:after="240" w:line="360" w:lineRule="auto"/>
        <w:ind w:left="0"/>
        <w:jc w:val="both"/>
        <w:rPr>
          <w:rFonts w:ascii="Palatino Linotype" w:hAnsi="Palatino Linotype"/>
          <w:sz w:val="24"/>
          <w:szCs w:val="24"/>
          <w:highlight w:val="lightGray"/>
        </w:rPr>
      </w:pPr>
    </w:p>
    <w:p w:rsidR="0003648B" w:rsidRPr="00D35B4C" w:rsidRDefault="0003648B" w:rsidP="000921E9">
      <w:pPr>
        <w:pStyle w:val="Prrafodelista"/>
        <w:numPr>
          <w:ilvl w:val="0"/>
          <w:numId w:val="1"/>
        </w:numPr>
        <w:pBdr>
          <w:top w:val="nil"/>
          <w:left w:val="nil"/>
          <w:bottom w:val="nil"/>
          <w:right w:val="nil"/>
          <w:between w:val="nil"/>
          <w:bar w:val="nil"/>
        </w:pBdr>
        <w:spacing w:before="240" w:after="240" w:line="360" w:lineRule="auto"/>
        <w:ind w:left="0" w:firstLine="0"/>
        <w:jc w:val="both"/>
        <w:rPr>
          <w:rFonts w:ascii="Palatino Linotype" w:hAnsi="Palatino Linotype"/>
          <w:sz w:val="24"/>
          <w:szCs w:val="24"/>
        </w:rPr>
      </w:pPr>
      <w:r w:rsidRPr="00D35B4C">
        <w:rPr>
          <w:rFonts w:ascii="Palatino Linotype" w:hAnsi="Palatino Linotype" w:cs="Arial"/>
          <w:sz w:val="24"/>
          <w:szCs w:val="24"/>
        </w:rPr>
        <w:t xml:space="preserve">En razón a las consideraciones antes señaladas es que no puedo compartir el sentido de la resolución adoptada, </w:t>
      </w:r>
      <w:r w:rsidR="00D35B4C">
        <w:rPr>
          <w:rFonts w:ascii="Palatino Linotype" w:hAnsi="Palatino Linotype" w:cs="Arial"/>
          <w:sz w:val="24"/>
          <w:szCs w:val="24"/>
        </w:rPr>
        <w:t>y me permito manifestar lo siguiente en el presente voto particular:</w:t>
      </w:r>
    </w:p>
    <w:p w:rsidR="00680533" w:rsidRPr="00427B79" w:rsidRDefault="00835C8D" w:rsidP="00835C8D">
      <w:pPr>
        <w:pStyle w:val="Ttulo1"/>
        <w:rPr>
          <w:rFonts w:eastAsia="Calibri"/>
          <w:b w:val="0"/>
          <w:color w:val="auto"/>
          <w:szCs w:val="24"/>
        </w:rPr>
      </w:pPr>
      <w:bookmarkStart w:id="5" w:name="_Toc2634151"/>
      <w:r>
        <w:rPr>
          <w:rFonts w:eastAsia="Calibri"/>
          <w:color w:val="auto"/>
          <w:szCs w:val="24"/>
        </w:rPr>
        <w:t xml:space="preserve">IV. </w:t>
      </w:r>
      <w:r w:rsidR="00680533" w:rsidRPr="00427B79">
        <w:rPr>
          <w:rFonts w:eastAsia="Calibri"/>
          <w:color w:val="auto"/>
          <w:szCs w:val="24"/>
        </w:rPr>
        <w:t>Del Pronunciamiento simple</w:t>
      </w:r>
      <w:bookmarkEnd w:id="5"/>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En numerosas ocasiones he mencionado que la fundamentación y motivación es una obligación inherente y fundamental de todas las autoridades independientemente del grado jerárquico con el que cuenten, y en el presente recurso de revisión que hoy nos ocupa no será  la excepción en la que señale este aspecto, para lo cual es importante hacer mención lo que el </w:t>
      </w:r>
      <w:r w:rsidRPr="00427B79">
        <w:rPr>
          <w:rFonts w:ascii="Palatino Linotype" w:eastAsia="Times New Roman" w:hAnsi="Palatino Linotype" w:cs="Arial"/>
          <w:sz w:val="24"/>
          <w:szCs w:val="24"/>
          <w:lang w:val="es-ES_tradnl" w:eastAsia="es-MX"/>
        </w:rPr>
        <w:t xml:space="preserve">intérprete judicial del </w:t>
      </w:r>
      <w:r w:rsidRPr="00427B79">
        <w:rPr>
          <w:rFonts w:ascii="Palatino Linotype" w:eastAsia="Times New Roman" w:hAnsi="Palatino Linotype" w:cs="Arial"/>
          <w:sz w:val="24"/>
          <w:szCs w:val="24"/>
          <w:lang w:val="es-ES_tradnl" w:eastAsia="es-MX"/>
        </w:rPr>
        <w:lastRenderedPageBreak/>
        <w:t>país ha establecido en una jurisprudencia respecto a qué debe entenderse por fundamentación y motivación, en los siguientes términos:</w:t>
      </w:r>
    </w:p>
    <w:p w:rsidR="00E6179D" w:rsidRPr="00427B79" w:rsidRDefault="00E6179D" w:rsidP="00E6179D">
      <w:pPr>
        <w:spacing w:after="0" w:line="360" w:lineRule="auto"/>
        <w:ind w:right="618"/>
        <w:contextualSpacing/>
        <w:jc w:val="both"/>
        <w:rPr>
          <w:rFonts w:ascii="Palatino Linotype" w:eastAsiaTheme="minorEastAsia" w:hAnsi="Palatino Linotype" w:cs="Arial"/>
          <w:sz w:val="24"/>
          <w:szCs w:val="24"/>
          <w:lang w:val="es-ES_tradnl" w:eastAsia="es-ES"/>
        </w:rPr>
      </w:pP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b/>
          <w:i/>
          <w:lang w:val="es-ES_tradnl" w:eastAsia="es-ES"/>
        </w:rPr>
        <w:t>FUNDAMENTACIÓN Y MOTIVACIÓN.</w:t>
      </w:r>
      <w:r w:rsidRPr="00B73B30">
        <w:rPr>
          <w:rFonts w:ascii="Palatino Linotype" w:eastAsiaTheme="minorEastAsia" w:hAnsi="Palatino Linotype" w:cs="Arial"/>
          <w:i/>
          <w:lang w:val="es-ES_tradnl" w:eastAsia="es-ES"/>
        </w:rPr>
        <w:t xml:space="preserve"> </w:t>
      </w:r>
      <w:r w:rsidRPr="00B73B30">
        <w:rPr>
          <w:rFonts w:ascii="Palatino Linotype" w:eastAsiaTheme="minorEastAsia" w:hAnsi="Palatino Linotype" w:cs="Arial"/>
          <w:i/>
          <w:u w:val="single"/>
          <w:lang w:val="es-ES_tradnl"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3B30">
        <w:rPr>
          <w:rFonts w:ascii="Palatino Linotype" w:eastAsiaTheme="minorEastAsia" w:hAnsi="Palatino Linotype" w:cs="Arial"/>
          <w:i/>
          <w:lang w:val="es-ES_tradnl" w:eastAsia="es-ES"/>
        </w:rPr>
        <w:t>.</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SEGUNDO TRIBUNAL COLEGIADO DEL SEXTO CIRCUITO.</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directo 194/88. Bufete Industrial Construcciones, S.A. de C.V. 28 de junio de 1988. Unanimidad de votos. Ponente: Gustavo Calvillo Rangel. Secretario: Jorge Alberto González Álvarez.</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Revisión fiscal 103/88. Instituto Mexicano del Seguro Social. 18 de octubre de 1988. Unanimidad de votos. Ponente: Arnoldo Nájera Virgen. Secretario: Alejandro Esponda Rincón.</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en revisión 333/88. Adilia Romero. 26 de octubre de 1988. Unanimidad de votos. Ponente: Arnoldo Nájera Virgen. Secretario: Enrique Crispín Campos Ramírez.</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en revisión 597/95. Emilio Maurer Bretón. 15 de noviembre de 1995. Unanimidad de votos. Ponente: Clementina Ramírez Moguel Goyzueta. Secretario: Gonzalo Carrera Molina.</w:t>
      </w:r>
    </w:p>
    <w:p w:rsidR="00E6179D" w:rsidRPr="00B73B30" w:rsidRDefault="00E6179D" w:rsidP="00D35B4C">
      <w:pPr>
        <w:spacing w:after="0" w:line="360" w:lineRule="auto"/>
        <w:ind w:left="567" w:right="618"/>
        <w:contextualSpacing/>
        <w:jc w:val="both"/>
        <w:rPr>
          <w:rFonts w:ascii="Palatino Linotype" w:eastAsiaTheme="minorEastAsia" w:hAnsi="Palatino Linotype" w:cs="Arial"/>
          <w:i/>
          <w:lang w:val="es-ES_tradnl" w:eastAsia="es-ES"/>
        </w:rPr>
      </w:pPr>
      <w:r w:rsidRPr="00B73B30">
        <w:rPr>
          <w:rFonts w:ascii="Palatino Linotype" w:eastAsiaTheme="minorEastAsia" w:hAnsi="Palatino Linotype" w:cs="Arial"/>
          <w:i/>
          <w:lang w:val="es-ES_tradnl" w:eastAsia="es-ES"/>
        </w:rPr>
        <w:t>Amparo directo 7/96. Pedro Vicente López Miro. 21 de febrero de 1996. Unanimidad de votos. Ponente: María Eugenia Estela Martínez Cardiel. Secretario: Enrique Baigts Muñoz.</w:t>
      </w:r>
    </w:p>
    <w:p w:rsidR="00E6179D" w:rsidRPr="00427B79" w:rsidRDefault="00E6179D" w:rsidP="00E6179D">
      <w:pPr>
        <w:spacing w:after="0" w:line="360" w:lineRule="auto"/>
        <w:contextualSpacing/>
        <w:jc w:val="both"/>
        <w:rPr>
          <w:rFonts w:ascii="Palatino Linotype" w:eastAsiaTheme="minorEastAsia" w:hAnsi="Palatino Linotype" w:cs="Arial"/>
          <w:sz w:val="24"/>
          <w:szCs w:val="24"/>
          <w:lang w:val="es-ES" w:eastAsia="es-ES"/>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lastRenderedPageBreak/>
        <w:t xml:space="preserve">Así </w:t>
      </w:r>
      <w:r w:rsidRPr="00427B79">
        <w:rPr>
          <w:rFonts w:ascii="Palatino Linotype" w:eastAsia="Times New Roman" w:hAnsi="Palatino Linotype" w:cs="Arial"/>
          <w:sz w:val="24"/>
          <w:szCs w:val="24"/>
          <w:lang w:val="es-ES_tradnl"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D35B4C"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Lo anterior a razón de que el Sujeto Obligado se limitó simplemente a manifestar </w:t>
      </w:r>
      <w:r w:rsidRPr="00427B79">
        <w:rPr>
          <w:rFonts w:ascii="Palatino Linotype" w:eastAsia="Calibri" w:hAnsi="Palatino Linotype" w:cs="Arial"/>
          <w:i/>
          <w:sz w:val="24"/>
          <w:szCs w:val="24"/>
        </w:rPr>
        <w:t xml:space="preserve">“que no cuenta con la información” </w:t>
      </w:r>
      <w:r w:rsidRPr="00427B79">
        <w:rPr>
          <w:rFonts w:ascii="Palatino Linotype" w:eastAsia="Calibri" w:hAnsi="Palatino Linotype" w:cs="Arial"/>
          <w:sz w:val="24"/>
          <w:szCs w:val="24"/>
        </w:rPr>
        <w:t xml:space="preserve">tal respuesta es considerada como un pronunciamiento simple; sin embargo, carece de fundamentación y motivación, toda vez que no explica de manera clara y precisa las razones por las que la información no es generada, poseída o administrada y por tanto no obra en los archivos del Sujeto Obligado, lo </w:t>
      </w:r>
      <w:r w:rsidR="00D35B4C">
        <w:rPr>
          <w:rFonts w:ascii="Palatino Linotype" w:eastAsia="Calibri" w:hAnsi="Palatino Linotype" w:cs="Arial"/>
          <w:sz w:val="24"/>
          <w:szCs w:val="24"/>
        </w:rPr>
        <w:t>que en consecuencia contradice en primer lugar</w:t>
      </w:r>
      <w:r w:rsidR="00D35B4C" w:rsidRPr="00D35B4C">
        <w:rPr>
          <w:rFonts w:ascii="Palatino Linotype" w:eastAsia="Calibri" w:hAnsi="Palatino Linotype" w:cs="Arial"/>
          <w:sz w:val="24"/>
          <w:szCs w:val="24"/>
        </w:rPr>
        <w:t xml:space="preserve"> </w:t>
      </w:r>
      <w:r w:rsidR="00D35B4C">
        <w:rPr>
          <w:rFonts w:ascii="Palatino Linotype" w:eastAsia="Calibri" w:hAnsi="Palatino Linotype" w:cs="Arial"/>
          <w:sz w:val="24"/>
          <w:szCs w:val="24"/>
          <w:u w:val="single"/>
        </w:rPr>
        <w:t>e</w:t>
      </w:r>
      <w:r w:rsidRPr="00427B79">
        <w:rPr>
          <w:rFonts w:ascii="Palatino Linotype" w:eastAsia="Calibri" w:hAnsi="Palatino Linotype" w:cs="Arial"/>
          <w:sz w:val="24"/>
          <w:szCs w:val="24"/>
          <w:u w:val="single"/>
        </w:rPr>
        <w:t>l principio de certeza</w:t>
      </w:r>
      <w:r w:rsidRPr="00427B79">
        <w:rPr>
          <w:rFonts w:ascii="Palatino Linotype" w:eastAsia="Calibri" w:hAnsi="Palatino Linotype" w:cs="Arial"/>
          <w:sz w:val="24"/>
          <w:szCs w:val="24"/>
        </w:rPr>
        <w:t xml:space="preserve">, en razón de que el acto de autoridad que realizó el </w:t>
      </w:r>
      <w:r w:rsidR="00680533" w:rsidRPr="00427B79">
        <w:rPr>
          <w:rFonts w:ascii="Palatino Linotype" w:eastAsia="Calibri" w:hAnsi="Palatino Linotype" w:cs="Arial"/>
          <w:sz w:val="24"/>
          <w:szCs w:val="24"/>
        </w:rPr>
        <w:t>Secretaría de Finanzas del Estado de México</w:t>
      </w:r>
      <w:r w:rsidRPr="00427B79">
        <w:rPr>
          <w:rFonts w:ascii="Palatino Linotype" w:eastAsia="Calibri" w:hAnsi="Palatino Linotype" w:cs="Arial"/>
          <w:sz w:val="24"/>
          <w:szCs w:val="24"/>
        </w:rPr>
        <w:t xml:space="preserve"> en respuesta a la solicitud carece de fundamentación y motivación, lo que en consecuencia no brinda seguridad y certidumbre jurídica al particular, imposibilitando conocer si la postura</w:t>
      </w:r>
      <w:r w:rsidR="00D35B4C">
        <w:rPr>
          <w:rFonts w:ascii="Palatino Linotype" w:eastAsia="Calibri" w:hAnsi="Palatino Linotype" w:cs="Arial"/>
          <w:sz w:val="24"/>
          <w:szCs w:val="24"/>
        </w:rPr>
        <w:t xml:space="preserve"> adoptada por el Sujeto Obligado</w:t>
      </w:r>
      <w:r w:rsidRPr="00427B79">
        <w:rPr>
          <w:rFonts w:ascii="Palatino Linotype" w:eastAsia="Calibri" w:hAnsi="Palatino Linotype" w:cs="Arial"/>
          <w:sz w:val="24"/>
          <w:szCs w:val="24"/>
        </w:rPr>
        <w:t xml:space="preserve"> es apegada a derecho; y </w:t>
      </w:r>
      <w:r w:rsidR="00D35B4C">
        <w:rPr>
          <w:rFonts w:ascii="Palatino Linotype" w:eastAsia="Calibri" w:hAnsi="Palatino Linotype" w:cs="Arial"/>
          <w:sz w:val="24"/>
          <w:szCs w:val="24"/>
        </w:rPr>
        <w:t>en segundo lugar</w:t>
      </w:r>
      <w:r w:rsidRPr="00427B79">
        <w:rPr>
          <w:rFonts w:ascii="Palatino Linotype" w:eastAsia="Calibri" w:hAnsi="Palatino Linotype" w:cs="Arial"/>
          <w:sz w:val="24"/>
          <w:szCs w:val="24"/>
        </w:rPr>
        <w:t xml:space="preserve"> </w:t>
      </w:r>
      <w:r w:rsidR="00D35B4C">
        <w:rPr>
          <w:rFonts w:ascii="Palatino Linotype" w:eastAsia="Calibri" w:hAnsi="Palatino Linotype" w:cs="Arial"/>
          <w:sz w:val="24"/>
          <w:szCs w:val="24"/>
          <w:u w:val="single"/>
        </w:rPr>
        <w:t>e</w:t>
      </w:r>
      <w:r w:rsidRPr="00427B79">
        <w:rPr>
          <w:rFonts w:ascii="Palatino Linotype" w:eastAsia="Calibri" w:hAnsi="Palatino Linotype" w:cs="Arial"/>
          <w:sz w:val="24"/>
          <w:szCs w:val="24"/>
          <w:u w:val="single"/>
        </w:rPr>
        <w:t>l artículo 19 segundo párrafo</w:t>
      </w:r>
      <w:r w:rsidRPr="00427B79">
        <w:rPr>
          <w:rFonts w:ascii="Palatino Linotype" w:eastAsia="Calibri" w:hAnsi="Palatino Linotype" w:cs="Arial"/>
          <w:sz w:val="24"/>
          <w:szCs w:val="24"/>
        </w:rPr>
        <w:t xml:space="preserve"> que señala </w:t>
      </w:r>
      <w:r w:rsidRPr="00427B79">
        <w:rPr>
          <w:rFonts w:ascii="Palatino Linotype" w:eastAsia="Calibri" w:hAnsi="Palatino Linotype" w:cs="Arial"/>
          <w:i/>
          <w:sz w:val="24"/>
          <w:szCs w:val="24"/>
        </w:rPr>
        <w:t>“En los casos en que ciertas facultades, competencias o funciones no se hayan ejercido, se debe motivar la respuesta en función de las causas que motiven tal circunstancia.”</w:t>
      </w:r>
      <w:r w:rsidRPr="00427B79">
        <w:rPr>
          <w:rFonts w:ascii="Palatino Linotype" w:eastAsia="Calibri" w:hAnsi="Palatino Linotype" w:cs="Arial"/>
          <w:sz w:val="24"/>
          <w:szCs w:val="24"/>
        </w:rPr>
        <w:t xml:space="preserve"> </w:t>
      </w:r>
    </w:p>
    <w:p w:rsidR="00D35B4C" w:rsidRDefault="00D35B4C" w:rsidP="00D35B4C">
      <w:pPr>
        <w:spacing w:after="0" w:line="360" w:lineRule="auto"/>
        <w:contextualSpacing/>
        <w:jc w:val="both"/>
        <w:rPr>
          <w:rFonts w:ascii="Palatino Linotype" w:eastAsia="Calibri" w:hAnsi="Palatino Linotype" w:cs="Arial"/>
          <w:sz w:val="24"/>
          <w:szCs w:val="24"/>
        </w:rPr>
      </w:pPr>
    </w:p>
    <w:p w:rsidR="00A22908" w:rsidRDefault="00D35B4C"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Por lo que si </w:t>
      </w:r>
      <w:r w:rsidR="00E6179D" w:rsidRPr="00427B79">
        <w:rPr>
          <w:rFonts w:ascii="Palatino Linotype" w:eastAsia="Calibri" w:hAnsi="Palatino Linotype" w:cs="Arial"/>
          <w:sz w:val="24"/>
          <w:szCs w:val="24"/>
        </w:rPr>
        <w:t xml:space="preserve">el Sujeto Obligado no genera, administra o posee la información que solicitó el particular, </w:t>
      </w:r>
      <w:r>
        <w:rPr>
          <w:rFonts w:ascii="Palatino Linotype" w:eastAsia="Calibri" w:hAnsi="Palatino Linotype" w:cs="Arial"/>
          <w:sz w:val="24"/>
          <w:szCs w:val="24"/>
        </w:rPr>
        <w:t xml:space="preserve">el mismo </w:t>
      </w:r>
      <w:r w:rsidR="0083488C">
        <w:rPr>
          <w:rFonts w:ascii="Palatino Linotype" w:eastAsia="Calibri" w:hAnsi="Palatino Linotype" w:cs="Arial"/>
          <w:sz w:val="24"/>
          <w:szCs w:val="24"/>
        </w:rPr>
        <w:t>deberá fundar y motivar</w:t>
      </w:r>
      <w:r w:rsidR="00E6179D" w:rsidRPr="00427B79">
        <w:rPr>
          <w:rFonts w:ascii="Palatino Linotype" w:eastAsia="Calibri" w:hAnsi="Palatino Linotype" w:cs="Arial"/>
          <w:sz w:val="24"/>
          <w:szCs w:val="24"/>
        </w:rPr>
        <w:t xml:space="preserve"> debidamente las razones </w:t>
      </w:r>
      <w:r w:rsidR="00E6179D" w:rsidRPr="00427B79">
        <w:rPr>
          <w:rFonts w:ascii="Palatino Linotype" w:eastAsia="Calibri" w:hAnsi="Palatino Linotype" w:cs="Arial"/>
          <w:sz w:val="24"/>
          <w:szCs w:val="24"/>
        </w:rPr>
        <w:lastRenderedPageBreak/>
        <w:t>o circunstancias por las que no genera, posee o administra la información precisando de manera clara, las razones que expliquen las causas por las que no se cuenta con la información requerida en el presente asunto.</w:t>
      </w:r>
    </w:p>
    <w:p w:rsidR="00A22908" w:rsidRDefault="00A22908" w:rsidP="00A22908">
      <w:pPr>
        <w:pStyle w:val="Prrafodelista"/>
        <w:rPr>
          <w:rFonts w:ascii="Palatino Linotype" w:eastAsia="Calibri" w:hAnsi="Palatino Linotype" w:cs="Arial"/>
          <w:sz w:val="24"/>
          <w:szCs w:val="24"/>
          <w:lang w:val="es-ES_tradnl"/>
        </w:rPr>
      </w:pPr>
    </w:p>
    <w:p w:rsidR="00A22908" w:rsidRPr="00A22908" w:rsidRDefault="00A22908"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A22908">
        <w:rPr>
          <w:rFonts w:ascii="Palatino Linotype" w:eastAsia="Calibri" w:hAnsi="Palatino Linotype" w:cs="Arial"/>
          <w:sz w:val="24"/>
          <w:szCs w:val="24"/>
          <w:lang w:val="es-ES_tradn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A22908" w:rsidRPr="00A22908" w:rsidRDefault="00A22908" w:rsidP="00A22908">
      <w:pPr>
        <w:spacing w:after="0" w:line="360" w:lineRule="auto"/>
        <w:contextualSpacing/>
        <w:jc w:val="both"/>
        <w:rPr>
          <w:rFonts w:ascii="Palatino Linotype" w:eastAsia="Calibri" w:hAnsi="Palatino Linotype" w:cs="Arial"/>
          <w:sz w:val="24"/>
          <w:szCs w:val="24"/>
          <w:lang w:val="es-ES"/>
        </w:rPr>
      </w:pPr>
    </w:p>
    <w:p w:rsidR="00A22908" w:rsidRPr="00A22908" w:rsidRDefault="00A22908" w:rsidP="00A22908">
      <w:pPr>
        <w:spacing w:after="0" w:line="360" w:lineRule="auto"/>
        <w:ind w:left="567" w:right="616"/>
        <w:contextualSpacing/>
        <w:jc w:val="both"/>
        <w:rPr>
          <w:rFonts w:ascii="Palatino Linotype" w:eastAsia="Calibri" w:hAnsi="Palatino Linotype" w:cs="Arial"/>
          <w:i/>
          <w:lang w:val="es-ES_tradnl"/>
        </w:rPr>
      </w:pPr>
      <w:r w:rsidRPr="00A22908">
        <w:rPr>
          <w:rFonts w:ascii="Palatino Linotype" w:eastAsia="Calibri" w:hAnsi="Palatino Linotype" w:cs="Arial"/>
          <w:b/>
          <w:i/>
          <w:lang w:val="es-ES_tradnl"/>
        </w:rPr>
        <w:t>Artículo 16.</w:t>
      </w:r>
      <w:r w:rsidRPr="00A22908">
        <w:rPr>
          <w:rFonts w:ascii="Palatino Linotype" w:eastAsia="Calibri" w:hAnsi="Palatino Linotype" w:cs="Arial"/>
          <w:i/>
          <w:lang w:val="es-ES_tradnl"/>
        </w:rPr>
        <w:t xml:space="preserve"> Nadie puede ser molestado en su persona, familia, domicilio, papeles o posesiones, </w:t>
      </w:r>
      <w:r w:rsidRPr="00A22908">
        <w:rPr>
          <w:rFonts w:ascii="Palatino Linotype" w:eastAsia="Calibri" w:hAnsi="Palatino Linotype" w:cs="Arial"/>
          <w:b/>
          <w:i/>
          <w:lang w:val="es-ES_tradnl"/>
        </w:rPr>
        <w:t>sino en virtud de mandamiento escrito de la autoridad competente, que funde y motive la causa legal del procedimiento</w:t>
      </w:r>
      <w:r w:rsidRPr="00A22908">
        <w:rPr>
          <w:rFonts w:ascii="Palatino Linotype" w:eastAsia="Calibri" w:hAnsi="Palatino Linotype" w:cs="Arial"/>
          <w:i/>
          <w:lang w:val="es-ES_tradnl"/>
        </w:rPr>
        <w:t>.</w:t>
      </w:r>
    </w:p>
    <w:p w:rsidR="00A22908" w:rsidRPr="00A22908" w:rsidRDefault="00A22908" w:rsidP="00A22908">
      <w:pPr>
        <w:spacing w:after="0" w:line="360" w:lineRule="auto"/>
        <w:contextualSpacing/>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De este precepto se deduce que en el régimen jurídico mexicano, la fundamentación y motivación de los actos o resoluciones no es exclusiva de los órganos judiciales o jurisdiccionales, sino que se extiende a todas las autoridades.</w:t>
      </w:r>
    </w:p>
    <w:p w:rsidR="00C602B8" w:rsidRDefault="00C602B8" w:rsidP="00C602B8">
      <w:pPr>
        <w:pStyle w:val="Prrafodelista"/>
        <w:spacing w:after="0" w:line="360" w:lineRule="auto"/>
        <w:ind w:left="0"/>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En este contexto, en todo acto que la autoridad pronuncie en el ejercicio de sus atribuciones, debe expresar los fundamentos legales que le dieron origen y las razones por las que se deben aplicar al caso concreto.</w:t>
      </w:r>
    </w:p>
    <w:p w:rsid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lastRenderedPageBreak/>
        <w:t>Entonces, la fundamentación y motivación consiste en la obligación que tiene todo ente público de expresar los preceptos jurídicos aplicables al asunto motivo del acto y las razones o argumentos de su actuar.</w:t>
      </w:r>
    </w:p>
    <w:p w:rsidR="00A22908" w:rsidRPr="00A22908" w:rsidRDefault="00A22908" w:rsidP="00A22908">
      <w:pPr>
        <w:pStyle w:val="Prrafodelista"/>
        <w:rPr>
          <w:rFonts w:ascii="Palatino Linotype" w:eastAsia="Calibri" w:hAnsi="Palatino Linotype" w:cs="Arial"/>
          <w:sz w:val="24"/>
          <w:szCs w:val="24"/>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A22908" w:rsidRPr="00A22908" w:rsidRDefault="00A22908" w:rsidP="00A22908">
      <w:pPr>
        <w:spacing w:after="0" w:line="360" w:lineRule="auto"/>
        <w:ind w:right="616"/>
        <w:contextualSpacing/>
        <w:jc w:val="both"/>
        <w:rPr>
          <w:rFonts w:ascii="Palatino Linotype" w:eastAsia="Calibri" w:hAnsi="Palatino Linotype" w:cs="Arial"/>
          <w:i/>
          <w:lang w:val="es-ES_tradnl"/>
        </w:rPr>
      </w:pPr>
    </w:p>
    <w:p w:rsidR="00A22908"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E6179D" w:rsidRDefault="00A22908" w:rsidP="000921E9">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rPr>
      </w:pPr>
      <w:r w:rsidRPr="00A22908">
        <w:rPr>
          <w:rFonts w:ascii="Palatino Linotype" w:eastAsia="Calibri" w:hAnsi="Palatino Linotype" w:cs="Arial"/>
          <w:sz w:val="24"/>
          <w:szCs w:val="24"/>
          <w:lang w:val="es-ES_tradn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22908" w:rsidRPr="00A22908" w:rsidRDefault="00A22908" w:rsidP="00A22908">
      <w:pPr>
        <w:pStyle w:val="Prrafodelista"/>
        <w:spacing w:after="0" w:line="360" w:lineRule="auto"/>
        <w:ind w:left="0"/>
        <w:jc w:val="both"/>
        <w:rPr>
          <w:rFonts w:ascii="Palatino Linotype" w:eastAsia="Calibri" w:hAnsi="Palatino Linotype" w:cs="Arial"/>
          <w:sz w:val="24"/>
          <w:szCs w:val="24"/>
          <w:lang w:val="es-ES_tradnl"/>
        </w:rPr>
      </w:pPr>
    </w:p>
    <w:p w:rsidR="00E6179D" w:rsidRPr="00427B79" w:rsidRDefault="00E6179D" w:rsidP="000921E9">
      <w:pPr>
        <w:numPr>
          <w:ilvl w:val="0"/>
          <w:numId w:val="1"/>
        </w:numPr>
        <w:spacing w:after="0"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 xml:space="preserve">Es de mencionar que </w:t>
      </w:r>
      <w:r w:rsidR="0083488C">
        <w:rPr>
          <w:rFonts w:ascii="Palatino Linotype" w:eastAsia="Calibri" w:hAnsi="Palatino Linotype" w:cs="Arial"/>
          <w:sz w:val="24"/>
          <w:szCs w:val="24"/>
        </w:rPr>
        <w:t>en caso de que el</w:t>
      </w:r>
      <w:r w:rsidRPr="00427B79">
        <w:rPr>
          <w:rFonts w:ascii="Palatino Linotype" w:eastAsia="Calibri" w:hAnsi="Palatino Linotype" w:cs="Arial"/>
          <w:sz w:val="24"/>
          <w:szCs w:val="24"/>
        </w:rPr>
        <w:t xml:space="preserve"> </w:t>
      </w:r>
      <w:r w:rsidRPr="00427B79">
        <w:rPr>
          <w:rFonts w:ascii="Palatino Linotype" w:eastAsia="Calibri" w:hAnsi="Palatino Linotype" w:cs="Arial"/>
          <w:b/>
          <w:sz w:val="24"/>
          <w:szCs w:val="24"/>
        </w:rPr>
        <w:t>SUJETO OBLIGADO</w:t>
      </w:r>
      <w:r w:rsidRPr="00427B79">
        <w:rPr>
          <w:rFonts w:ascii="Palatino Linotype" w:eastAsia="Calibri" w:hAnsi="Palatino Linotype" w:cs="Arial"/>
          <w:sz w:val="24"/>
          <w:szCs w:val="24"/>
        </w:rPr>
        <w:t xml:space="preserve">, no </w:t>
      </w:r>
      <w:r w:rsidR="0083488C">
        <w:rPr>
          <w:rFonts w:ascii="Palatino Linotype" w:eastAsia="Calibri" w:hAnsi="Palatino Linotype" w:cs="Arial"/>
          <w:sz w:val="24"/>
          <w:szCs w:val="24"/>
        </w:rPr>
        <w:t xml:space="preserve">contara </w:t>
      </w:r>
      <w:r w:rsidRPr="00427B79">
        <w:rPr>
          <w:rFonts w:ascii="Palatino Linotype" w:eastAsia="Calibri" w:hAnsi="Palatino Linotype" w:cs="Arial"/>
          <w:sz w:val="24"/>
          <w:szCs w:val="24"/>
        </w:rPr>
        <w:t>con la información solicitada</w:t>
      </w:r>
      <w:r w:rsidR="0083488C">
        <w:rPr>
          <w:rFonts w:ascii="Palatino Linotype" w:eastAsia="Calibri" w:hAnsi="Palatino Linotype" w:cs="Arial"/>
          <w:sz w:val="24"/>
          <w:szCs w:val="24"/>
        </w:rPr>
        <w:t xml:space="preserve"> por no encontrarse dentro de sus </w:t>
      </w:r>
      <w:r w:rsidR="0083488C" w:rsidRPr="0083488C">
        <w:rPr>
          <w:rFonts w:ascii="Palatino Linotype" w:hAnsi="Palatino Linotype"/>
          <w:sz w:val="24"/>
          <w:szCs w:val="24"/>
        </w:rPr>
        <w:t>facultades, competencias o funcione</w:t>
      </w:r>
      <w:r w:rsidR="0083488C">
        <w:rPr>
          <w:rFonts w:ascii="Palatino Linotype" w:eastAsia="Calibri" w:hAnsi="Palatino Linotype" w:cs="Arial"/>
          <w:sz w:val="24"/>
          <w:szCs w:val="24"/>
        </w:rPr>
        <w:t>s</w:t>
      </w:r>
      <w:r w:rsidRPr="00427B79">
        <w:rPr>
          <w:rFonts w:ascii="Palatino Linotype" w:eastAsia="Calibri" w:hAnsi="Palatino Linotype" w:cs="Arial"/>
          <w:sz w:val="24"/>
          <w:szCs w:val="24"/>
        </w:rPr>
        <w:t xml:space="preserve">, </w:t>
      </w:r>
      <w:r w:rsidR="0083488C">
        <w:rPr>
          <w:rFonts w:ascii="Palatino Linotype" w:eastAsia="Calibri" w:hAnsi="Palatino Linotype" w:cs="Arial"/>
          <w:sz w:val="24"/>
          <w:szCs w:val="24"/>
        </w:rPr>
        <w:t>deberá demostrarlo de manera fundada y motivada</w:t>
      </w:r>
      <w:r w:rsidRPr="00427B79">
        <w:rPr>
          <w:rFonts w:ascii="Palatino Linotype" w:eastAsia="Calibri" w:hAnsi="Palatino Linotype" w:cs="Arial"/>
          <w:sz w:val="24"/>
          <w:szCs w:val="24"/>
        </w:rPr>
        <w:t xml:space="preserve">, </w:t>
      </w:r>
      <w:r w:rsidR="0083488C">
        <w:rPr>
          <w:rFonts w:ascii="Palatino Linotype" w:eastAsia="Calibri" w:hAnsi="Palatino Linotype" w:cs="Arial"/>
          <w:sz w:val="24"/>
          <w:szCs w:val="24"/>
        </w:rPr>
        <w:t>de acuerdo a</w:t>
      </w:r>
      <w:r w:rsidRPr="00427B79">
        <w:rPr>
          <w:rFonts w:ascii="Palatino Linotype" w:eastAsia="Calibri" w:hAnsi="Palatino Linotype" w:cs="Arial"/>
          <w:sz w:val="24"/>
          <w:szCs w:val="24"/>
        </w:rPr>
        <w:t>l artículo 20 de la Ley de la materia</w:t>
      </w:r>
      <w:r w:rsidR="0083488C">
        <w:rPr>
          <w:rFonts w:ascii="Palatino Linotype" w:eastAsia="Calibri" w:hAnsi="Palatino Linotype" w:cs="Arial"/>
          <w:sz w:val="24"/>
          <w:szCs w:val="24"/>
        </w:rPr>
        <w:t>,</w:t>
      </w:r>
      <w:r w:rsidRPr="00427B79">
        <w:rPr>
          <w:rFonts w:ascii="Palatino Linotype" w:eastAsia="Calibri" w:hAnsi="Palatino Linotype" w:cs="Arial"/>
          <w:sz w:val="24"/>
          <w:szCs w:val="24"/>
        </w:rPr>
        <w:t xml:space="preserve"> el cual establece que:</w:t>
      </w:r>
    </w:p>
    <w:p w:rsidR="00E6179D" w:rsidRPr="00427B79" w:rsidRDefault="00E6179D" w:rsidP="00E6179D">
      <w:pPr>
        <w:spacing w:after="0" w:line="360" w:lineRule="auto"/>
        <w:contextualSpacing/>
        <w:jc w:val="both"/>
        <w:rPr>
          <w:b/>
          <w:bCs/>
          <w:sz w:val="24"/>
          <w:szCs w:val="24"/>
        </w:rPr>
      </w:pPr>
    </w:p>
    <w:p w:rsidR="00E6179D" w:rsidRPr="00427B79" w:rsidRDefault="00E6179D" w:rsidP="0083488C">
      <w:pPr>
        <w:spacing w:after="0" w:line="360" w:lineRule="auto"/>
        <w:ind w:left="567" w:right="616"/>
        <w:contextualSpacing/>
        <w:jc w:val="both"/>
        <w:rPr>
          <w:rFonts w:ascii="Palatino Linotype" w:eastAsia="Calibri" w:hAnsi="Palatino Linotype" w:cs="Arial"/>
          <w:i/>
          <w:sz w:val="24"/>
          <w:szCs w:val="24"/>
        </w:rPr>
      </w:pPr>
      <w:r w:rsidRPr="00427B79">
        <w:rPr>
          <w:rFonts w:ascii="Palatino Linotype" w:hAnsi="Palatino Linotype"/>
          <w:b/>
          <w:bCs/>
          <w:i/>
          <w:sz w:val="24"/>
          <w:szCs w:val="24"/>
        </w:rPr>
        <w:t xml:space="preserve">Artículo 20. </w:t>
      </w:r>
      <w:r w:rsidRPr="00427B79">
        <w:rPr>
          <w:rFonts w:ascii="Palatino Linotype" w:hAnsi="Palatino Linotype"/>
          <w:i/>
          <w:sz w:val="24"/>
          <w:szCs w:val="24"/>
        </w:rPr>
        <w:t xml:space="preserve">Ante la negativa del acceso a la información </w:t>
      </w:r>
      <w:r w:rsidRPr="00427B79">
        <w:rPr>
          <w:rFonts w:ascii="Palatino Linotype" w:hAnsi="Palatino Linotype"/>
          <w:b/>
          <w:i/>
          <w:sz w:val="24"/>
          <w:szCs w:val="24"/>
        </w:rPr>
        <w:t>o su inexistencia</w:t>
      </w:r>
      <w:r w:rsidRPr="00427B79">
        <w:rPr>
          <w:rFonts w:ascii="Palatino Linotype" w:hAnsi="Palatino Linotype"/>
          <w:i/>
          <w:sz w:val="24"/>
          <w:szCs w:val="24"/>
        </w:rPr>
        <w:t xml:space="preserve">, el sujeto obligado deberá demostrar que la información solicitada está prevista en alguna de las excepciones contenidas en esta Ley o, en su caso, </w:t>
      </w:r>
      <w:r w:rsidRPr="00427B79">
        <w:rPr>
          <w:rFonts w:ascii="Palatino Linotype" w:hAnsi="Palatino Linotype"/>
          <w:b/>
          <w:i/>
          <w:sz w:val="24"/>
          <w:szCs w:val="24"/>
        </w:rPr>
        <w:t>demostrar que la información no se refiere a alguna de sus facultades, competencias o funciones.</w:t>
      </w:r>
    </w:p>
    <w:p w:rsidR="00E6179D" w:rsidRPr="00427B79" w:rsidRDefault="00E6179D" w:rsidP="00E6179D">
      <w:pPr>
        <w:spacing w:after="0" w:line="360" w:lineRule="auto"/>
        <w:contextualSpacing/>
        <w:jc w:val="both"/>
        <w:rPr>
          <w:rFonts w:ascii="Palatino Linotype" w:eastAsia="Calibri" w:hAnsi="Palatino Linotype" w:cs="Arial"/>
          <w:sz w:val="24"/>
          <w:szCs w:val="24"/>
        </w:rPr>
      </w:pPr>
    </w:p>
    <w:p w:rsidR="00E6179D" w:rsidRPr="0083488C" w:rsidRDefault="00E6179D" w:rsidP="000921E9">
      <w:pPr>
        <w:numPr>
          <w:ilvl w:val="0"/>
          <w:numId w:val="1"/>
        </w:numPr>
        <w:spacing w:after="0" w:line="360" w:lineRule="auto"/>
        <w:ind w:left="0" w:firstLine="0"/>
        <w:contextualSpacing/>
        <w:jc w:val="both"/>
        <w:rPr>
          <w:rFonts w:ascii="Palatino Linotype" w:hAnsi="Palatino Linotype"/>
          <w:sz w:val="24"/>
          <w:szCs w:val="24"/>
        </w:rPr>
      </w:pPr>
      <w:r w:rsidRPr="0083488C">
        <w:rPr>
          <w:rFonts w:ascii="Palatino Linotype" w:eastAsia="Calibri" w:hAnsi="Palatino Linotype" w:cs="Arial"/>
          <w:sz w:val="24"/>
          <w:szCs w:val="24"/>
        </w:rPr>
        <w:t>Por lo anteriormente expuesto, se concluye que para los casos en que la información que el</w:t>
      </w:r>
      <w:r w:rsidR="0083488C">
        <w:rPr>
          <w:rFonts w:ascii="Palatino Linotype" w:eastAsia="Calibri" w:hAnsi="Palatino Linotype" w:cs="Arial"/>
          <w:sz w:val="24"/>
          <w:szCs w:val="24"/>
        </w:rPr>
        <w:t xml:space="preserve"> particular solicitó sea inexis</w:t>
      </w:r>
      <w:r w:rsidRPr="0083488C">
        <w:rPr>
          <w:rFonts w:ascii="Palatino Linotype" w:eastAsia="Calibri" w:hAnsi="Palatino Linotype" w:cs="Arial"/>
          <w:sz w:val="24"/>
          <w:szCs w:val="24"/>
        </w:rPr>
        <w:t xml:space="preserve">tente de acuerdo con el artículo 20 de la Ley, la autoridad debe informar al particular especificando los elementos </w:t>
      </w:r>
      <w:r w:rsidR="0083488C">
        <w:rPr>
          <w:rFonts w:ascii="Palatino Linotype" w:eastAsia="Calibri" w:hAnsi="Palatino Linotype" w:cs="Arial"/>
          <w:sz w:val="24"/>
          <w:szCs w:val="24"/>
        </w:rPr>
        <w:t>que le permitan tener la seguri</w:t>
      </w:r>
      <w:r w:rsidRPr="0083488C">
        <w:rPr>
          <w:rFonts w:ascii="Palatino Linotype" w:eastAsia="Calibri" w:hAnsi="Palatino Linotype" w:cs="Arial"/>
          <w:sz w:val="24"/>
          <w:szCs w:val="24"/>
        </w:rPr>
        <w:t>dad de que los criterios de búsqueda fu</w:t>
      </w:r>
      <w:r w:rsidR="0083488C">
        <w:rPr>
          <w:rFonts w:ascii="Palatino Linotype" w:eastAsia="Calibri" w:hAnsi="Palatino Linotype" w:cs="Arial"/>
          <w:sz w:val="24"/>
          <w:szCs w:val="24"/>
        </w:rPr>
        <w:t>eron exhaustivos, así como seña</w:t>
      </w:r>
      <w:r w:rsidRPr="0083488C">
        <w:rPr>
          <w:rFonts w:ascii="Palatino Linotype" w:eastAsia="Calibri" w:hAnsi="Palatino Linotype" w:cs="Arial"/>
          <w:sz w:val="24"/>
          <w:szCs w:val="24"/>
        </w:rPr>
        <w:t xml:space="preserve">lar detalladamente las circunstancias que generaron la inexistencia de la </w:t>
      </w:r>
      <w:r w:rsidRPr="0083488C">
        <w:rPr>
          <w:rFonts w:ascii="Palatino Linotype" w:eastAsia="Calibri" w:hAnsi="Palatino Linotype" w:cs="Arial"/>
          <w:sz w:val="24"/>
          <w:szCs w:val="24"/>
        </w:rPr>
        <w:lastRenderedPageBreak/>
        <w:t>información, de manera que la autoridad no puede únicamente informar al solicitante sobre la inexistencia de determinada información, sino que debe hacerse todo lo necesario para satisfacer el derecho reclamado por el particular.</w:t>
      </w:r>
    </w:p>
    <w:p w:rsidR="00E6179D" w:rsidRPr="00B73B30" w:rsidRDefault="00E6179D" w:rsidP="00E6179D">
      <w:pPr>
        <w:spacing w:after="0" w:line="360" w:lineRule="auto"/>
        <w:contextualSpacing/>
        <w:jc w:val="both"/>
        <w:rPr>
          <w:rFonts w:ascii="Palatino Linotype" w:hAnsi="Palatino Linotype"/>
          <w:sz w:val="24"/>
          <w:szCs w:val="24"/>
        </w:rPr>
      </w:pPr>
    </w:p>
    <w:p w:rsidR="00E6179D" w:rsidRPr="00B21F85" w:rsidRDefault="00E6179D" w:rsidP="000921E9">
      <w:pPr>
        <w:numPr>
          <w:ilvl w:val="0"/>
          <w:numId w:val="1"/>
        </w:numPr>
        <w:spacing w:after="0" w:line="360" w:lineRule="auto"/>
        <w:ind w:left="0" w:firstLine="0"/>
        <w:contextualSpacing/>
        <w:jc w:val="both"/>
        <w:rPr>
          <w:rFonts w:ascii="Palatino Linotype" w:hAnsi="Palatino Linotype"/>
          <w:sz w:val="24"/>
          <w:szCs w:val="24"/>
        </w:rPr>
      </w:pPr>
      <w:r w:rsidRPr="00B73B30">
        <w:rPr>
          <w:rFonts w:ascii="Palatino Linotype" w:eastAsia="Calibri" w:hAnsi="Palatino Linotype" w:cs="Arial"/>
          <w:sz w:val="24"/>
          <w:szCs w:val="24"/>
        </w:rPr>
        <w:t>T</w:t>
      </w:r>
      <w:r w:rsidRPr="00B73B30">
        <w:rPr>
          <w:rFonts w:ascii="Palatino Linotype" w:eastAsia="Calibri" w:hAnsi="Palatino Linotype"/>
          <w:sz w:val="24"/>
          <w:szCs w:val="24"/>
        </w:rPr>
        <w:t>al circunst</w:t>
      </w:r>
      <w:r w:rsidR="0083488C" w:rsidRPr="00B73B30">
        <w:rPr>
          <w:rFonts w:ascii="Palatino Linotype" w:eastAsia="Calibri" w:hAnsi="Palatino Linotype"/>
          <w:sz w:val="24"/>
          <w:szCs w:val="24"/>
        </w:rPr>
        <w:t>ancia no puede tener como resul</w:t>
      </w:r>
      <w:r w:rsidRPr="00B73B30">
        <w:rPr>
          <w:rFonts w:ascii="Palatino Linotype" w:eastAsia="Calibri" w:hAnsi="Palatino Linotype"/>
          <w:sz w:val="24"/>
          <w:szCs w:val="24"/>
        </w:rPr>
        <w:t>tado el simple pronunciamiento de la inexistencia de la información solicitada, sino por el contrario, en estos casos las autoridades deberán fundar y motivar las razones por las que no cuentan con la información ya sea porque no realizaron dichos actos o porque no se encuentran en el ámbito de sus atribuciones.</w:t>
      </w:r>
    </w:p>
    <w:p w:rsidR="00B21F85" w:rsidRDefault="00B21F85" w:rsidP="00B21F85">
      <w:pPr>
        <w:pStyle w:val="Prrafodelista"/>
        <w:rPr>
          <w:rFonts w:ascii="Palatino Linotype" w:hAnsi="Palatino Linotype"/>
          <w:sz w:val="24"/>
          <w:szCs w:val="24"/>
        </w:rPr>
      </w:pPr>
    </w:p>
    <w:p w:rsidR="00B21F85" w:rsidRDefault="00B21F85" w:rsidP="00B21F85">
      <w:pPr>
        <w:spacing w:after="0" w:line="360" w:lineRule="auto"/>
        <w:contextualSpacing/>
        <w:jc w:val="both"/>
        <w:rPr>
          <w:rFonts w:ascii="Palatino Linotype" w:hAnsi="Palatino Linotype"/>
          <w:sz w:val="24"/>
          <w:szCs w:val="24"/>
        </w:rPr>
      </w:pPr>
      <w:r>
        <w:rPr>
          <w:rFonts w:ascii="Palatino Linotype" w:hAnsi="Palatino Linotype"/>
          <w:sz w:val="24"/>
          <w:szCs w:val="24"/>
        </w:rPr>
        <w:t>V. Del artículo 19 de la ley de la materia.</w:t>
      </w:r>
    </w:p>
    <w:p w:rsidR="00B21F85" w:rsidRDefault="00B21F85" w:rsidP="00B21F85">
      <w:pPr>
        <w:spacing w:after="0" w:line="360" w:lineRule="auto"/>
        <w:contextualSpacing/>
        <w:jc w:val="both"/>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right="900" w:firstLine="0"/>
        <w:jc w:val="both"/>
        <w:rPr>
          <w:rFonts w:ascii="Palatino Linotype" w:hAnsi="Palatino Linotype"/>
          <w:sz w:val="24"/>
          <w:szCs w:val="24"/>
        </w:rPr>
      </w:pPr>
      <w:r w:rsidRPr="00B21F85">
        <w:rPr>
          <w:rFonts w:ascii="Palatino Linotype" w:hAnsi="Palatino Linotype"/>
          <w:sz w:val="24"/>
          <w:szCs w:val="24"/>
        </w:rPr>
        <w:t xml:space="preserve">Para poder comprender lo que la </w:t>
      </w:r>
      <w:r w:rsidRPr="00B21F85">
        <w:rPr>
          <w:rFonts w:ascii="Palatino Linotype" w:hAnsi="Palatino Linotype"/>
          <w:b/>
          <w:sz w:val="24"/>
          <w:szCs w:val="24"/>
        </w:rPr>
        <w:t>“presunción de la información”</w:t>
      </w:r>
      <w:r w:rsidRPr="00B21F85">
        <w:rPr>
          <w:rFonts w:ascii="Palatino Linotype" w:hAnsi="Palatino Linotype"/>
          <w:sz w:val="24"/>
          <w:szCs w:val="24"/>
        </w:rPr>
        <w:t xml:space="preserve"> implica, es necesario analizar lo establecido en el artículo 19 de la Ley de Transparencia y Acceso a la Información Pública del Estado de México y Municipios, que a la letra señala lo siguiente: </w:t>
      </w:r>
    </w:p>
    <w:p w:rsidR="00B21F85" w:rsidRDefault="00B21F85" w:rsidP="00B21F85">
      <w:pPr>
        <w:spacing w:after="0" w:line="360" w:lineRule="auto"/>
        <w:ind w:right="900"/>
        <w:jc w:val="both"/>
        <w:rPr>
          <w:rFonts w:ascii="Palatino Linotype" w:hAnsi="Palatino Linotype"/>
          <w:sz w:val="24"/>
          <w:szCs w:val="24"/>
        </w:rPr>
      </w:pPr>
    </w:p>
    <w:p w:rsidR="00B21F85" w:rsidRPr="003252A4"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t xml:space="preserve">“Artículo 19. Se presume que la información debe de existir si se refiere a las facultades, competencias y funciones que los ordenamientos jurídicos aplicables otorgan a los sujetos obligados. </w:t>
      </w:r>
    </w:p>
    <w:p w:rsidR="00B21F85" w:rsidRPr="003252A4"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lastRenderedPageBreak/>
        <w:t xml:space="preserve">En los casos en que ciertas facultades, competencias o funciones no se hayan ejercido, se debe motivar la respuesta en función de las causas que motiven tal circunstancia. </w:t>
      </w:r>
    </w:p>
    <w:p w:rsidR="00B21F85" w:rsidRDefault="00B21F85" w:rsidP="00B21F85">
      <w:pPr>
        <w:spacing w:line="360" w:lineRule="auto"/>
        <w:ind w:left="567" w:right="900"/>
        <w:jc w:val="both"/>
        <w:rPr>
          <w:rFonts w:ascii="Palatino Linotype" w:hAnsi="Palatino Linotype"/>
          <w:i/>
          <w:sz w:val="24"/>
          <w:szCs w:val="24"/>
        </w:rPr>
      </w:pPr>
      <w:r w:rsidRPr="003252A4">
        <w:rPr>
          <w:rFonts w:ascii="Palatino Linotype" w:hAnsi="Palatino Linotype"/>
          <w:i/>
          <w:sz w:val="24"/>
          <w:szCs w:val="24"/>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rsidR="00B21F85" w:rsidRPr="00D47DAC" w:rsidRDefault="00B21F85" w:rsidP="00B21F85">
      <w:pPr>
        <w:spacing w:after="0" w:line="360" w:lineRule="auto"/>
        <w:ind w:right="900"/>
        <w:jc w:val="both"/>
        <w:rPr>
          <w:rFonts w:ascii="Palatino Linotype" w:hAnsi="Palatino Linotype"/>
          <w:i/>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Derivado del artículo anterior y con la finalidad de entender la naturaleza del mismo, se procede a realizar un análisis deductivo, siendo que este es una estrategia de razonamiento que se emplea para deducir conclusiones lógicas a partir de una serie de premisas o principios y cuyo proceso de pensamiento va de lo general a lo particular, por lo que se desprende que el precepto legal citado, está compuesto por las siguientes hipótesis. </w:t>
      </w:r>
    </w:p>
    <w:p w:rsidR="00B21F85" w:rsidRDefault="00B21F85" w:rsidP="00B21F85">
      <w:pPr>
        <w:spacing w:after="0" w:line="360" w:lineRule="auto"/>
        <w:jc w:val="both"/>
        <w:rPr>
          <w:rFonts w:ascii="Palatino Linotype" w:hAnsi="Palatino Linotype"/>
          <w:sz w:val="24"/>
          <w:szCs w:val="24"/>
        </w:rPr>
      </w:pPr>
    </w:p>
    <w:p w:rsidR="00B21F85" w:rsidRDefault="00B21F85" w:rsidP="00B21F85">
      <w:pPr>
        <w:pStyle w:val="Prrafodelista"/>
        <w:numPr>
          <w:ilvl w:val="0"/>
          <w:numId w:val="28"/>
        </w:numPr>
        <w:spacing w:after="0" w:line="360" w:lineRule="auto"/>
        <w:ind w:left="426"/>
        <w:jc w:val="both"/>
        <w:rPr>
          <w:rFonts w:ascii="Palatino Linotype" w:hAnsi="Palatino Linotype"/>
          <w:sz w:val="24"/>
          <w:szCs w:val="24"/>
        </w:rPr>
      </w:pPr>
      <w:r w:rsidRPr="00450598">
        <w:rPr>
          <w:rFonts w:ascii="Palatino Linotype" w:hAnsi="Palatino Linotype"/>
          <w:b/>
          <w:sz w:val="24"/>
          <w:szCs w:val="24"/>
        </w:rPr>
        <w:t>Existencia y presunción implícita</w:t>
      </w:r>
      <w:r>
        <w:rPr>
          <w:rFonts w:ascii="Palatino Linotype" w:hAnsi="Palatino Linotype"/>
          <w:b/>
          <w:sz w:val="24"/>
          <w:szCs w:val="24"/>
        </w:rPr>
        <w:t xml:space="preserve"> o explícita de la información.</w:t>
      </w:r>
      <w:r>
        <w:rPr>
          <w:rFonts w:ascii="Palatino Linotype" w:hAnsi="Palatino Linotype"/>
          <w:sz w:val="24"/>
          <w:szCs w:val="24"/>
        </w:rPr>
        <w:t xml:space="preserve"> </w:t>
      </w:r>
    </w:p>
    <w:p w:rsidR="00B21F85"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Pr>
          <w:rFonts w:ascii="Palatino Linotype" w:hAnsi="Palatino Linotype"/>
          <w:sz w:val="24"/>
          <w:szCs w:val="24"/>
        </w:rPr>
        <w:t>Esta hipótesis señala qu</w:t>
      </w:r>
      <w:r w:rsidRPr="00DA579B">
        <w:rPr>
          <w:rFonts w:ascii="Palatino Linotype" w:hAnsi="Palatino Linotype"/>
          <w:sz w:val="24"/>
          <w:szCs w:val="24"/>
        </w:rPr>
        <w:t xml:space="preserve">e </w:t>
      </w:r>
      <w:r>
        <w:rPr>
          <w:rFonts w:ascii="Palatino Linotype" w:hAnsi="Palatino Linotype"/>
          <w:sz w:val="24"/>
          <w:szCs w:val="24"/>
        </w:rPr>
        <w:t xml:space="preserve">se </w:t>
      </w:r>
      <w:r w:rsidRPr="00DA579B">
        <w:rPr>
          <w:rFonts w:ascii="Palatino Linotype" w:hAnsi="Palatino Linotype"/>
          <w:sz w:val="24"/>
          <w:szCs w:val="24"/>
        </w:rPr>
        <w:t xml:space="preserve">presume que la información debe de existir </w:t>
      </w:r>
      <w:r>
        <w:rPr>
          <w:rFonts w:ascii="Palatino Linotype" w:hAnsi="Palatino Linotype"/>
          <w:sz w:val="24"/>
          <w:szCs w:val="24"/>
        </w:rPr>
        <w:t xml:space="preserve">en archivos del </w:t>
      </w:r>
      <w:r w:rsidRPr="00DA579B">
        <w:rPr>
          <w:rFonts w:ascii="Palatino Linotype" w:hAnsi="Palatino Linotype"/>
          <w:b/>
          <w:sz w:val="24"/>
          <w:szCs w:val="24"/>
        </w:rPr>
        <w:t>SUJETO OBLIGADO</w:t>
      </w:r>
      <w:r>
        <w:rPr>
          <w:rFonts w:ascii="Palatino Linotype" w:hAnsi="Palatino Linotype"/>
          <w:sz w:val="24"/>
          <w:szCs w:val="24"/>
        </w:rPr>
        <w:t xml:space="preserve">, en razón de que éste tiene la obligación, facultad y/o competencia de generar la misma, para robustecer lo anterior se anexa el siguiente criterio; </w:t>
      </w:r>
    </w:p>
    <w:p w:rsidR="00B21F85" w:rsidRDefault="00B21F85" w:rsidP="00B21F85">
      <w:pPr>
        <w:pStyle w:val="Prrafodelista"/>
        <w:spacing w:after="0" w:line="360" w:lineRule="auto"/>
        <w:jc w:val="both"/>
        <w:rPr>
          <w:rFonts w:ascii="Palatino Linotype" w:hAnsi="Palatino Linotype"/>
          <w:sz w:val="24"/>
          <w:szCs w:val="24"/>
        </w:rPr>
      </w:pPr>
    </w:p>
    <w:p w:rsidR="00B21F85" w:rsidRPr="00450598" w:rsidRDefault="00B21F85" w:rsidP="00B21F85">
      <w:pPr>
        <w:pStyle w:val="Prrafodelista"/>
        <w:spacing w:after="0" w:line="360" w:lineRule="auto"/>
        <w:ind w:left="567" w:right="616"/>
        <w:jc w:val="both"/>
        <w:rPr>
          <w:rFonts w:ascii="Palatino Linotype" w:hAnsi="Palatino Linotype" w:cs="Arial"/>
          <w:sz w:val="24"/>
          <w:szCs w:val="24"/>
        </w:rPr>
      </w:pPr>
      <w:r w:rsidRPr="00450598">
        <w:rPr>
          <w:rFonts w:ascii="Palatino Linotype" w:hAnsi="Palatino Linotype" w:cs="Arial"/>
          <w:b/>
          <w:sz w:val="24"/>
          <w:szCs w:val="24"/>
        </w:rPr>
        <w:lastRenderedPageBreak/>
        <w:t>EXISTENCIA DE LA INFORMACIÓN PÚBLICA, PRESUNCIÓN IMPLÍCITA O EXPLÍCITA DE LA.</w:t>
      </w:r>
      <w:r w:rsidRPr="00450598">
        <w:rPr>
          <w:rFonts w:ascii="Palatino Linotype" w:hAnsi="Palatino Linotype" w:cs="Arial"/>
          <w:sz w:val="24"/>
          <w:szCs w:val="24"/>
        </w:rPr>
        <w:t xml:space="preserv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w:t>
      </w:r>
      <w:r w:rsidRPr="00450598">
        <w:rPr>
          <w:rFonts w:ascii="Palatino Linotype" w:hAnsi="Palatino Linotype" w:cs="Arial"/>
          <w:sz w:val="24"/>
          <w:szCs w:val="24"/>
          <w:u w:val="single"/>
        </w:rPr>
        <w:t>aprobar un presupuesto de egresos</w:t>
      </w:r>
      <w:r w:rsidRPr="00450598">
        <w:rPr>
          <w:rFonts w:ascii="Palatino Linotype" w:hAnsi="Palatino Linotype" w:cs="Arial"/>
          <w:sz w:val="24"/>
          <w:szCs w:val="24"/>
        </w:rPr>
        <w:t>;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B21F85" w:rsidRDefault="00B21F85" w:rsidP="00B21F85">
      <w:pPr>
        <w:pStyle w:val="Prrafodelista"/>
        <w:spacing w:line="360" w:lineRule="auto"/>
        <w:jc w:val="both"/>
        <w:rPr>
          <w:rFonts w:ascii="Palatino Linotype" w:hAnsi="Palatino Linotype"/>
          <w:sz w:val="24"/>
          <w:szCs w:val="24"/>
        </w:rPr>
      </w:pPr>
    </w:p>
    <w:p w:rsidR="00B21F85" w:rsidRPr="00DA579B" w:rsidRDefault="00B21F85" w:rsidP="00B21F85">
      <w:pPr>
        <w:pStyle w:val="Prrafodelista"/>
        <w:numPr>
          <w:ilvl w:val="0"/>
          <w:numId w:val="28"/>
        </w:numPr>
        <w:spacing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la f</w:t>
      </w:r>
      <w:r>
        <w:rPr>
          <w:rFonts w:ascii="Palatino Linotype" w:hAnsi="Palatino Linotype"/>
          <w:b/>
          <w:sz w:val="24"/>
          <w:szCs w:val="24"/>
        </w:rPr>
        <w:t>alta de acción de un interesado.</w:t>
      </w:r>
    </w:p>
    <w:p w:rsidR="00B21F85" w:rsidRDefault="00B21F85" w:rsidP="000921E9">
      <w:pPr>
        <w:pStyle w:val="Prrafodelista"/>
        <w:numPr>
          <w:ilvl w:val="0"/>
          <w:numId w:val="1"/>
        </w:numPr>
        <w:spacing w:line="360" w:lineRule="auto"/>
        <w:ind w:left="0" w:firstLine="0"/>
        <w:jc w:val="both"/>
        <w:rPr>
          <w:rFonts w:ascii="Palatino Linotype" w:hAnsi="Palatino Linotype"/>
          <w:sz w:val="24"/>
          <w:szCs w:val="24"/>
        </w:rPr>
      </w:pPr>
      <w:r w:rsidRPr="00B21F85">
        <w:rPr>
          <w:rFonts w:ascii="Palatino Linotype" w:hAnsi="Palatino Linotype"/>
          <w:sz w:val="24"/>
          <w:szCs w:val="24"/>
        </w:rPr>
        <w:lastRenderedPageBreak/>
        <w:t xml:space="preserve">Esta hipótesis señala que para el caso de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no haya generado la información, en razón de que la autoridad responsable no se encontró en la exigencia de ejercer las facultades, competencias y atribuciones que la ley le confiere para generar información, ya que no existió particular alguno que realizara una solicitud de acceso a la información. </w:t>
      </w:r>
    </w:p>
    <w:p w:rsidR="00B21F85" w:rsidRDefault="00B21F85" w:rsidP="00B21F85">
      <w:pPr>
        <w:pStyle w:val="Prrafodelista"/>
        <w:spacing w:line="360" w:lineRule="auto"/>
        <w:ind w:left="0"/>
        <w:jc w:val="both"/>
        <w:rPr>
          <w:rFonts w:ascii="Palatino Linotype" w:hAnsi="Palatino Linotype"/>
          <w:sz w:val="24"/>
          <w:szCs w:val="24"/>
        </w:rPr>
      </w:pPr>
    </w:p>
    <w:p w:rsidR="00B21F85" w:rsidRPr="00B21F85" w:rsidRDefault="00B21F85" w:rsidP="000921E9">
      <w:pPr>
        <w:pStyle w:val="Prrafodelista"/>
        <w:numPr>
          <w:ilvl w:val="0"/>
          <w:numId w:val="1"/>
        </w:numPr>
        <w:spacing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Por lo anterior y si fuera el caso, el </w:t>
      </w:r>
      <w:r w:rsidRPr="00B21F85">
        <w:rPr>
          <w:rFonts w:ascii="Palatino Linotype" w:hAnsi="Palatino Linotype"/>
          <w:b/>
          <w:sz w:val="24"/>
          <w:szCs w:val="24"/>
        </w:rPr>
        <w:t>SUJETO OBLIGADO</w:t>
      </w:r>
      <w:r w:rsidRPr="00B21F85">
        <w:rPr>
          <w:rFonts w:ascii="Palatino Linotype" w:hAnsi="Palatino Linotype"/>
          <w:sz w:val="24"/>
          <w:szCs w:val="24"/>
        </w:rPr>
        <w:t xml:space="preserve">, deberá señalar de manera fundada y motivada las razones que lo llevaron a la falta de su generación, asimismo se anexa el siguiente criterio. </w:t>
      </w:r>
    </w:p>
    <w:p w:rsidR="00B21F85" w:rsidRPr="001C2A0E"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B21F85">
      <w:pPr>
        <w:pStyle w:val="Prrafodelista"/>
        <w:spacing w:after="0" w:line="360" w:lineRule="auto"/>
        <w:ind w:left="567" w:right="616"/>
        <w:jc w:val="both"/>
        <w:rPr>
          <w:rFonts w:ascii="Palatino Linotype" w:hAnsi="Palatino Linotype" w:cs="Arial"/>
          <w:sz w:val="24"/>
          <w:szCs w:val="24"/>
        </w:rPr>
      </w:pPr>
      <w:r w:rsidRPr="00450598">
        <w:rPr>
          <w:rFonts w:ascii="Palatino Linotype" w:hAnsi="Palatino Linotype" w:cs="Arial"/>
          <w:b/>
          <w:sz w:val="24"/>
          <w:szCs w:val="24"/>
        </w:rPr>
        <w:t xml:space="preserve">INEXISTENCIA DE LA INFORMACIÓN, </w:t>
      </w:r>
      <w:r w:rsidRPr="00450598">
        <w:rPr>
          <w:rFonts w:ascii="Palatino Linotype" w:hAnsi="Palatino Linotype" w:cs="Arial"/>
          <w:b/>
          <w:sz w:val="24"/>
          <w:szCs w:val="24"/>
          <w:u w:val="single"/>
        </w:rPr>
        <w:t>SUPUESTOS</w:t>
      </w:r>
      <w:r w:rsidRPr="00450598">
        <w:rPr>
          <w:rFonts w:ascii="Palatino Linotype" w:hAnsi="Palatino Linotype" w:cs="Arial"/>
          <w:b/>
          <w:sz w:val="24"/>
          <w:szCs w:val="24"/>
        </w:rPr>
        <w:t xml:space="preserve"> PARA MANIFESTAR LA. </w:t>
      </w:r>
      <w:r w:rsidRPr="00450598">
        <w:rPr>
          <w:rFonts w:ascii="Palatino Linotype" w:hAnsi="Palatino Linotype" w:cs="Arial"/>
          <w:sz w:val="24"/>
          <w:szCs w:val="24"/>
        </w:rPr>
        <w:t>A</w:t>
      </w:r>
      <w:r w:rsidRPr="00450598">
        <w:rPr>
          <w:rFonts w:ascii="Palatino Linotype" w:hAnsi="Palatino Linotype" w:cs="Arial"/>
          <w:b/>
          <w:sz w:val="24"/>
          <w:szCs w:val="24"/>
        </w:rPr>
        <w:t xml:space="preserve"> </w:t>
      </w:r>
      <w:r w:rsidRPr="00450598">
        <w:rPr>
          <w:rFonts w:ascii="Palatino Linotype" w:hAnsi="Palatino Linotype" w:cs="Arial"/>
          <w:sz w:val="24"/>
          <w:szCs w:val="24"/>
        </w:rPr>
        <w:t xml:space="preserve">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primer supuesto, que corresponde a lo señalado 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w:t>
      </w:r>
      <w:r w:rsidRPr="00450598">
        <w:rPr>
          <w:rFonts w:ascii="Palatino Linotype" w:hAnsi="Palatino Linotype" w:cs="Arial"/>
          <w:sz w:val="24"/>
          <w:szCs w:val="24"/>
        </w:rPr>
        <w:lastRenderedPageBreak/>
        <w:t>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B21F85" w:rsidRPr="00450598" w:rsidRDefault="00B21F85" w:rsidP="00B21F85">
      <w:pPr>
        <w:pStyle w:val="Prrafodelista"/>
        <w:spacing w:after="0" w:line="360" w:lineRule="auto"/>
        <w:ind w:left="567" w:right="616"/>
        <w:jc w:val="both"/>
        <w:rPr>
          <w:rFonts w:ascii="Palatino Linotype" w:hAnsi="Palatino Linotype" w:cs="Arial"/>
          <w:sz w:val="24"/>
          <w:szCs w:val="24"/>
        </w:rPr>
      </w:pPr>
    </w:p>
    <w:p w:rsidR="00B21F85" w:rsidRDefault="00B21F85" w:rsidP="00B21F85">
      <w:pPr>
        <w:pStyle w:val="Prrafodelista"/>
        <w:numPr>
          <w:ilvl w:val="0"/>
          <w:numId w:val="28"/>
        </w:numPr>
        <w:spacing w:after="0"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incumplimiento de obligación o circunstancias ajenas al SUJETO OBLIGADO</w:t>
      </w:r>
      <w:r>
        <w:rPr>
          <w:rFonts w:ascii="Palatino Linotype" w:hAnsi="Palatino Linotype"/>
          <w:sz w:val="24"/>
          <w:szCs w:val="24"/>
        </w:rPr>
        <w:t>.</w:t>
      </w:r>
    </w:p>
    <w:p w:rsidR="00B21F85" w:rsidRDefault="00B21F85" w:rsidP="00B21F85">
      <w:pPr>
        <w:pStyle w:val="Prrafodelista"/>
        <w:spacing w:after="0" w:line="360" w:lineRule="auto"/>
        <w:ind w:left="426"/>
        <w:jc w:val="both"/>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Esta hipótesis prevé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sí debió generar la información solicitada, en razón de que es una de sus facultades, atribuciones y competencias, pero no lo hizo, o bien si fue generada poseída y/o administrada por el mismo, pero ya no obra en sus archivos, en consecuencia y en ambos casos, la autoridad responsable deberá manifestar de manera fundada y motivada las razones que expliquen las causas que llevaron ante tal situación -se anexa el siguiente criterio-. </w:t>
      </w:r>
    </w:p>
    <w:p w:rsidR="00B21F85" w:rsidRPr="00450598" w:rsidRDefault="00B21F85" w:rsidP="00B21F85">
      <w:pPr>
        <w:pStyle w:val="Prrafodelista"/>
        <w:spacing w:after="0" w:line="360" w:lineRule="auto"/>
        <w:jc w:val="both"/>
        <w:rPr>
          <w:rFonts w:ascii="Palatino Linotype" w:hAnsi="Palatino Linotype"/>
          <w:sz w:val="24"/>
          <w:szCs w:val="24"/>
        </w:rPr>
      </w:pPr>
    </w:p>
    <w:p w:rsidR="00B21F85" w:rsidRDefault="00B21F85" w:rsidP="00B21F85">
      <w:pPr>
        <w:spacing w:after="0" w:line="360" w:lineRule="auto"/>
        <w:ind w:left="567" w:right="616"/>
        <w:jc w:val="both"/>
        <w:rPr>
          <w:rFonts w:ascii="Palatino Linotype" w:hAnsi="Palatino Linotype" w:cs="Arial"/>
          <w:sz w:val="24"/>
          <w:szCs w:val="24"/>
        </w:rPr>
      </w:pPr>
      <w:r w:rsidRPr="00541925">
        <w:rPr>
          <w:rFonts w:ascii="Palatino Linotype" w:hAnsi="Palatino Linotype" w:cs="Arial"/>
          <w:b/>
          <w:sz w:val="24"/>
          <w:szCs w:val="24"/>
          <w:u w:val="single"/>
        </w:rPr>
        <w:t>INEXISTENCIA DE LA INFORMACIÓN,</w:t>
      </w:r>
      <w:r w:rsidRPr="00541925">
        <w:rPr>
          <w:rFonts w:ascii="Palatino Linotype" w:hAnsi="Palatino Linotype" w:cs="Arial"/>
          <w:b/>
          <w:sz w:val="24"/>
          <w:szCs w:val="24"/>
        </w:rPr>
        <w:t xml:space="preserve"> SUPUESTOS PARA EMITIR LA RESOLUCIÓN DE LA.</w:t>
      </w:r>
      <w:r w:rsidRPr="00541925">
        <w:rPr>
          <w:rFonts w:ascii="Palatino Linotype" w:hAnsi="Palatino Linotype" w:cs="Arial"/>
          <w:sz w:val="24"/>
          <w:szCs w:val="24"/>
        </w:rPr>
        <w:t xml:space="preserve"> A diferencia de la Ley General, la Ley de Transparencia y Acceso a la Información Pública del Estado de México establece, en su artículo 19, dos supuestos generales para </w:t>
      </w:r>
      <w:r w:rsidRPr="00541925">
        <w:rPr>
          <w:rFonts w:ascii="Palatino Linotype" w:hAnsi="Palatino Linotype" w:cs="Arial"/>
          <w:sz w:val="24"/>
          <w:szCs w:val="24"/>
        </w:rPr>
        <w:lastRenderedPageBreak/>
        <w:t xml:space="preserve">proceder en el caso de información inexistente pero cuya existencia se presume por relacionarse con las facultades, competencias y funciones legales de los sujetos obligados. El segundo supuesto, que corresponde a lo señalado en su último párrafo, alude a: 1.- Actos realizados sobre los cuales a) no se generó, poseyó o administró el documento que registre la información solicitada; </w:t>
      </w:r>
      <w:r w:rsidRPr="00541925">
        <w:rPr>
          <w:rFonts w:ascii="Palatino Linotype" w:hAnsi="Palatino Linotype" w:cs="Arial"/>
          <w:b/>
          <w:sz w:val="24"/>
          <w:szCs w:val="24"/>
        </w:rPr>
        <w:t>b) habiendo sido generada, poseída o administrada, no se cuenta con la información solicitada</w:t>
      </w:r>
      <w:r w:rsidRPr="00541925">
        <w:rPr>
          <w:rFonts w:ascii="Palatino Linotype" w:hAnsi="Palatino Linotype" w:cs="Arial"/>
          <w:sz w:val="24"/>
          <w:szCs w:val="24"/>
        </w:rPr>
        <w:t xml:space="preserve">; o bien, 2.- El sujeto obligado fue omiso en el ejercicio de una facultad, competencia o atribución inexcusable. En estos casos, será necesario acreditar que se cumplieron los supuestos del artículo 169 del citado ordenamiento y emitir la resolución que confirme la inexistencia cumpliendo con las formalidades señaladas en el artículo 170 de la misma norma. </w:t>
      </w:r>
    </w:p>
    <w:p w:rsidR="00B21F85" w:rsidRPr="00541925" w:rsidRDefault="00B21F85" w:rsidP="00B21F85">
      <w:pPr>
        <w:spacing w:after="0" w:line="360" w:lineRule="auto"/>
        <w:ind w:right="616"/>
        <w:jc w:val="both"/>
        <w:rPr>
          <w:rFonts w:ascii="Palatino Linotype" w:hAnsi="Palatino Linotype" w:cs="Arial"/>
          <w:sz w:val="24"/>
          <w:szCs w:val="24"/>
        </w:rPr>
      </w:pPr>
    </w:p>
    <w:p w:rsidR="00B21F85" w:rsidRDefault="00B21F85" w:rsidP="00B21F85">
      <w:pPr>
        <w:spacing w:after="0" w:line="360" w:lineRule="auto"/>
        <w:jc w:val="both"/>
        <w:rPr>
          <w:rFonts w:ascii="Palatino Linotype" w:eastAsia="Calibri" w:hAnsi="Palatino Linotype" w:cs="Times New Roman"/>
          <w:sz w:val="24"/>
          <w:szCs w:val="24"/>
          <w:highlight w:val="yellow"/>
          <w:lang w:val="es-ES" w:eastAsia="es-ES"/>
        </w:rPr>
      </w:pPr>
    </w:p>
    <w:p w:rsidR="00B21F85" w:rsidRPr="00F16264" w:rsidRDefault="00B21F85" w:rsidP="00B21F85">
      <w:pPr>
        <w:pStyle w:val="Prrafodelista"/>
        <w:numPr>
          <w:ilvl w:val="0"/>
          <w:numId w:val="29"/>
        </w:numPr>
        <w:spacing w:after="0" w:line="360" w:lineRule="auto"/>
        <w:ind w:left="426" w:hanging="426"/>
        <w:jc w:val="both"/>
        <w:rPr>
          <w:rFonts w:ascii="Palatino Linotype" w:eastAsia="Calibri" w:hAnsi="Palatino Linotype" w:cs="Times New Roman"/>
          <w:sz w:val="24"/>
          <w:szCs w:val="24"/>
          <w:lang w:val="es-ES" w:eastAsia="es-ES"/>
        </w:rPr>
      </w:pPr>
      <w:r w:rsidRPr="00450598">
        <w:rPr>
          <w:rFonts w:ascii="Palatino Linotype" w:hAnsi="Palatino Linotype"/>
          <w:b/>
          <w:sz w:val="24"/>
          <w:szCs w:val="24"/>
        </w:rPr>
        <w:t>Existencia de la información y presunción implícita</w:t>
      </w:r>
      <w:r>
        <w:rPr>
          <w:rFonts w:ascii="Palatino Linotype" w:hAnsi="Palatino Linotype"/>
          <w:b/>
          <w:sz w:val="24"/>
          <w:szCs w:val="24"/>
        </w:rPr>
        <w:t>.</w:t>
      </w:r>
    </w:p>
    <w:p w:rsidR="00B21F85" w:rsidRPr="00F16264" w:rsidRDefault="00B21F85" w:rsidP="00B21F85">
      <w:pPr>
        <w:pStyle w:val="Prrafodelista"/>
        <w:spacing w:after="0" w:line="360" w:lineRule="auto"/>
        <w:ind w:left="426"/>
        <w:jc w:val="both"/>
        <w:rPr>
          <w:rFonts w:ascii="Palatino Linotype" w:eastAsia="Calibri" w:hAnsi="Palatino Linotype" w:cs="Times New Roman"/>
          <w:sz w:val="24"/>
          <w:szCs w:val="24"/>
          <w:lang w:val="es-ES" w:eastAsia="es-ES"/>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principio, el término presunción se deriva de la voz latina </w:t>
      </w:r>
      <w:r w:rsidRPr="00B21F85">
        <w:rPr>
          <w:rFonts w:ascii="Palatino Linotype" w:hAnsi="Palatino Linotype"/>
          <w:i/>
          <w:sz w:val="24"/>
          <w:szCs w:val="24"/>
        </w:rPr>
        <w:t>“prae-sumere”,</w:t>
      </w:r>
      <w:r w:rsidRPr="00B21F85">
        <w:rPr>
          <w:rFonts w:ascii="Palatino Linotype" w:hAnsi="Palatino Linotype"/>
          <w:sz w:val="24"/>
          <w:szCs w:val="24"/>
        </w:rPr>
        <w:t xml:space="preserve"> que significa; </w:t>
      </w:r>
      <w:r w:rsidRPr="00B21F85">
        <w:rPr>
          <w:rFonts w:ascii="Palatino Linotype" w:hAnsi="Palatino Linotype"/>
          <w:i/>
          <w:sz w:val="24"/>
          <w:szCs w:val="24"/>
        </w:rPr>
        <w:t xml:space="preserve">resolver de antemano, anticipar, tomar una cosa cierta sin que esté probada o conjeturar. </w:t>
      </w:r>
      <w:r w:rsidRPr="00B21F85">
        <w:rPr>
          <w:rFonts w:ascii="Palatino Linotype" w:hAnsi="Palatino Linotype"/>
          <w:sz w:val="24"/>
          <w:szCs w:val="24"/>
        </w:rPr>
        <w:t xml:space="preserve">En relación con el conocimiento, aquel que “presume” es quien toma anticipadamente como sabido aquello que desconoce. Se puede decir que la presunción equivale a suponer una cosa cierta sin que esta esté probada. </w:t>
      </w: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lastRenderedPageBreak/>
        <w:t xml:space="preserve">Ahora bien, la presunción es una conjetura probable sobre una cosa incierta, puede ser de derecho cuando la determina la ley, o de hombre, si proviene de un razonamiento de un juez o de una autoridad, de acuerdo con el Código de Procedimientos Administrativos del Estado de México, señala en su artículo 88 que: </w:t>
      </w:r>
    </w:p>
    <w:p w:rsidR="00B21F85" w:rsidRDefault="00B21F85" w:rsidP="00B21F85">
      <w:pPr>
        <w:spacing w:after="0" w:line="360" w:lineRule="auto"/>
        <w:jc w:val="both"/>
        <w:rPr>
          <w:rFonts w:ascii="Palatino Linotype" w:hAnsi="Palatino Linotype"/>
          <w:sz w:val="24"/>
          <w:szCs w:val="24"/>
        </w:rPr>
      </w:pPr>
    </w:p>
    <w:p w:rsidR="00B21F85" w:rsidRPr="00F16264" w:rsidRDefault="00B21F85" w:rsidP="00B21F85">
      <w:pPr>
        <w:spacing w:after="0" w:line="360" w:lineRule="auto"/>
        <w:ind w:left="567" w:right="616"/>
        <w:jc w:val="both"/>
        <w:rPr>
          <w:rFonts w:ascii="Palatino Linotype" w:hAnsi="Palatino Linotype"/>
          <w:i/>
          <w:sz w:val="24"/>
          <w:szCs w:val="24"/>
        </w:rPr>
      </w:pPr>
      <w:r>
        <w:rPr>
          <w:rFonts w:ascii="Palatino Linotype" w:hAnsi="Palatino Linotype"/>
          <w:i/>
          <w:sz w:val="24"/>
          <w:szCs w:val="24"/>
        </w:rPr>
        <w:t>“</w:t>
      </w:r>
      <w:r w:rsidRPr="00F16264">
        <w:rPr>
          <w:rFonts w:ascii="Palatino Linotype" w:hAnsi="Palatino Linotype"/>
          <w:i/>
          <w:sz w:val="24"/>
          <w:szCs w:val="24"/>
        </w:rPr>
        <w:t xml:space="preserve">Artículo 88. La </w:t>
      </w:r>
      <w:r w:rsidRPr="00722024">
        <w:rPr>
          <w:rFonts w:ascii="Palatino Linotype" w:hAnsi="Palatino Linotype"/>
          <w:b/>
          <w:i/>
          <w:sz w:val="24"/>
          <w:szCs w:val="24"/>
        </w:rPr>
        <w:t>presunción es la consecuencia</w:t>
      </w:r>
      <w:r w:rsidRPr="00F16264">
        <w:rPr>
          <w:rFonts w:ascii="Palatino Linotype" w:hAnsi="Palatino Linotype"/>
          <w:i/>
          <w:sz w:val="24"/>
          <w:szCs w:val="24"/>
        </w:rPr>
        <w:t xml:space="preserve"> que la ley, autoridad administrativa o el tribunal </w:t>
      </w:r>
      <w:r w:rsidRPr="00722024">
        <w:rPr>
          <w:rFonts w:ascii="Palatino Linotype" w:hAnsi="Palatino Linotype"/>
          <w:b/>
          <w:i/>
          <w:sz w:val="24"/>
          <w:szCs w:val="24"/>
        </w:rPr>
        <w:t>deducen de un hecho conocido para averiguar la verdad de otro desconocido</w:t>
      </w:r>
      <w:r w:rsidRPr="00F16264">
        <w:rPr>
          <w:rFonts w:ascii="Palatino Linotype" w:hAnsi="Palatino Linotype"/>
          <w:i/>
          <w:sz w:val="24"/>
          <w:szCs w:val="24"/>
        </w:rPr>
        <w:t xml:space="preserve">; la primera se llama legal y la segunda humana. </w:t>
      </w:r>
    </w:p>
    <w:p w:rsidR="00B21F85" w:rsidRDefault="00B21F85" w:rsidP="00B21F85">
      <w:pPr>
        <w:spacing w:after="0" w:line="360" w:lineRule="auto"/>
        <w:ind w:left="567" w:right="616"/>
        <w:jc w:val="both"/>
        <w:rPr>
          <w:rFonts w:ascii="Palatino Linotype" w:hAnsi="Palatino Linotype"/>
          <w:i/>
          <w:sz w:val="24"/>
          <w:szCs w:val="24"/>
        </w:rPr>
      </w:pPr>
      <w:r w:rsidRPr="00F16264">
        <w:rPr>
          <w:rFonts w:ascii="Palatino Linotype" w:hAnsi="Palatino Linotype"/>
          <w:i/>
          <w:sz w:val="24"/>
          <w:szCs w:val="24"/>
        </w:rPr>
        <w:t>Hay presunción legal cuando la ley la establece expresamente. Hay presunción humana cunado de un hecho debidamente probado se deduce otro que es c</w:t>
      </w:r>
      <w:r>
        <w:rPr>
          <w:rFonts w:ascii="Palatino Linotype" w:hAnsi="Palatino Linotype"/>
          <w:i/>
          <w:sz w:val="24"/>
          <w:szCs w:val="24"/>
        </w:rPr>
        <w:t xml:space="preserve">onsecuencia ordinaria de aquel”. </w:t>
      </w:r>
    </w:p>
    <w:p w:rsidR="00B21F85" w:rsidRPr="00F16264" w:rsidRDefault="00B21F85" w:rsidP="00B21F85">
      <w:pPr>
        <w:spacing w:after="0" w:line="360" w:lineRule="auto"/>
        <w:ind w:left="567" w:right="616"/>
        <w:jc w:val="both"/>
        <w:rPr>
          <w:rFonts w:ascii="Palatino Linotype" w:hAnsi="Palatino Linotype"/>
          <w:i/>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Hablando en términos de efectos procesales; la doctrina norteamericana expresa que:</w:t>
      </w:r>
    </w:p>
    <w:p w:rsidR="00B21F85" w:rsidRDefault="00B21F85" w:rsidP="00B21F85">
      <w:pPr>
        <w:spacing w:after="0" w:line="360" w:lineRule="auto"/>
        <w:ind w:left="567" w:right="616"/>
        <w:jc w:val="both"/>
        <w:rPr>
          <w:rFonts w:ascii="Palatino Linotype" w:hAnsi="Palatino Linotype"/>
          <w:sz w:val="24"/>
          <w:szCs w:val="24"/>
        </w:rPr>
      </w:pPr>
      <w:r w:rsidRPr="00F16264">
        <w:rPr>
          <w:rFonts w:ascii="Palatino Linotype" w:hAnsi="Palatino Linotype"/>
          <w:i/>
          <w:sz w:val="24"/>
          <w:szCs w:val="24"/>
        </w:rPr>
        <w:t>“Así como las cargas de la prueba están algunas veces situadas por razones de equidad, algunas presunciones están creadas para corregir un desequilibrio resultante del mayor acceso que tiene a la prueba una de las partes”.</w:t>
      </w:r>
      <w:r w:rsidRPr="00F16264">
        <w:rPr>
          <w:rFonts w:ascii="Palatino Linotype" w:hAnsi="Palatino Linotype"/>
          <w:sz w:val="24"/>
          <w:szCs w:val="24"/>
        </w:rPr>
        <w:t xml:space="preserve"> </w:t>
      </w:r>
    </w:p>
    <w:p w:rsidR="00B21F85" w:rsidRDefault="00B21F85" w:rsidP="00B21F85">
      <w:pPr>
        <w:spacing w:after="0" w:line="360" w:lineRule="auto"/>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Es decir, en algunos procedimientos jurídicos y en diversas situaciones, la parte demandada y la parte actora, se encuentran en el mismo plano de obligación de presentar las pruebas para corroborar los hechos a los que aluden, sin embargo, en casos específicos, nos confrontamos a que las pruebas son más accesibles para </w:t>
      </w:r>
      <w:r w:rsidRPr="00B21F85">
        <w:rPr>
          <w:rFonts w:ascii="Palatino Linotype" w:hAnsi="Palatino Linotype"/>
          <w:sz w:val="24"/>
          <w:szCs w:val="24"/>
        </w:rPr>
        <w:lastRenderedPageBreak/>
        <w:t>una de las partes, generando con ello un estado de desequilibrio probatorio, y ante este nace la figura de la presunción.</w:t>
      </w:r>
    </w:p>
    <w:p w:rsidR="00B21F85" w:rsidRDefault="00B21F85" w:rsidP="00B21F85">
      <w:pPr>
        <w:pStyle w:val="Prrafodelista"/>
        <w:spacing w:after="0" w:line="360" w:lineRule="auto"/>
        <w:ind w:left="0"/>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Parra Quijano</w:t>
      </w:r>
      <w:r>
        <w:rPr>
          <w:rStyle w:val="Refdenotaalpie"/>
          <w:rFonts w:ascii="Palatino Linotype" w:hAnsi="Palatino Linotype"/>
          <w:sz w:val="24"/>
          <w:szCs w:val="24"/>
        </w:rPr>
        <w:footnoteReference w:id="1"/>
      </w:r>
      <w:r w:rsidRPr="00B21F85">
        <w:rPr>
          <w:rFonts w:ascii="Palatino Linotype" w:hAnsi="Palatino Linotype"/>
          <w:sz w:val="24"/>
          <w:szCs w:val="24"/>
        </w:rPr>
        <w:t xml:space="preserve"> establece que las presunciones se originan por razones de equidad, debido a la dificultad de traer al proceso hechos de imposibilidad probatoria; no son hechos imposibles, sino hechos que son normales pero no hay medios probatorios para traerlos al proceso.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No se debe olvidar que la presunción se trata de la aplicación de métodos lógicos, reglas de experiencia y análisis de concordancia. Al sujeto que favorezca la presunción, no requiere probarla, basta que muestre el hecho base, por ejemplo;  La ley en materia civil, señala que “la posesión de una cosa hará presumir la tradición”, es decir, si se celebró un contrato de compraventa, y el comprador tiene en la actualidad la cosa objeto del contrato en su poder, la ley presume que el vendedor se la entregó y que dicha entrega materializó la tradición, es decir el hecho base es la posesión del  objeto.</w:t>
      </w:r>
    </w:p>
    <w:p w:rsidR="00B21F85" w:rsidRPr="00B21F85" w:rsidRDefault="00B21F85" w:rsidP="00B21F85">
      <w:pPr>
        <w:pStyle w:val="Prrafodelista"/>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materia de transparencia, esta hipótesis se encuadra de la siguiente manera: </w:t>
      </w:r>
      <w:r>
        <w:rPr>
          <w:rFonts w:ascii="Palatino Linotype" w:hAnsi="Palatino Linotype"/>
          <w:sz w:val="24"/>
          <w:szCs w:val="24"/>
        </w:rPr>
        <w:t xml:space="preserve"> </w:t>
      </w:r>
      <w:r w:rsidRPr="00B21F85">
        <w:rPr>
          <w:rFonts w:ascii="Palatino Linotype" w:hAnsi="Palatino Linotype"/>
          <w:sz w:val="24"/>
          <w:szCs w:val="24"/>
        </w:rPr>
        <w:t xml:space="preserve">El hecho base es la facultad, la competencia y las funciones que la ley aplicable otorga a los sujetos obligados para generar la información, luego entonces, si la facultad, la competencia y las funciones de la autoridad, dan como resultado la </w:t>
      </w:r>
      <w:r w:rsidRPr="00B21F85">
        <w:rPr>
          <w:rFonts w:ascii="Palatino Linotype" w:hAnsi="Palatino Linotype"/>
          <w:sz w:val="24"/>
          <w:szCs w:val="24"/>
        </w:rPr>
        <w:lastRenderedPageBreak/>
        <w:t xml:space="preserve">generación de la información, se presupone que el </w:t>
      </w:r>
      <w:r w:rsidRPr="00B21F85">
        <w:rPr>
          <w:rFonts w:ascii="Palatino Linotype" w:hAnsi="Palatino Linotype"/>
          <w:b/>
          <w:sz w:val="24"/>
          <w:szCs w:val="24"/>
        </w:rPr>
        <w:t>SUJETO OBLIGADO</w:t>
      </w:r>
      <w:r w:rsidRPr="00B21F85">
        <w:rPr>
          <w:rFonts w:ascii="Palatino Linotype" w:hAnsi="Palatino Linotype"/>
          <w:sz w:val="24"/>
          <w:szCs w:val="24"/>
        </w:rPr>
        <w:t xml:space="preserve"> debe de poseer y administrar la misma, y por lo consecuencia, al poseer y administrar la información, éste debe de permitir su  acceso a través del Derecho de Acceso a la Información. </w:t>
      </w:r>
    </w:p>
    <w:p w:rsidR="00B21F85" w:rsidRDefault="00B21F85" w:rsidP="00B21F85">
      <w:pPr>
        <w:spacing w:after="0" w:line="360" w:lineRule="auto"/>
        <w:jc w:val="both"/>
        <w:rPr>
          <w:rFonts w:ascii="Palatino Linotype" w:hAnsi="Palatino Linotype"/>
          <w:sz w:val="24"/>
          <w:szCs w:val="24"/>
        </w:rPr>
      </w:pPr>
    </w:p>
    <w:p w:rsidR="00B21F85" w:rsidRPr="00801E18" w:rsidRDefault="00B21F85" w:rsidP="00B21F85">
      <w:pPr>
        <w:pStyle w:val="Prrafodelista"/>
        <w:numPr>
          <w:ilvl w:val="0"/>
          <w:numId w:val="29"/>
        </w:numPr>
        <w:spacing w:after="0" w:line="360" w:lineRule="auto"/>
        <w:ind w:left="426" w:hanging="426"/>
        <w:jc w:val="both"/>
        <w:rPr>
          <w:rFonts w:ascii="Palatino Linotype" w:hAnsi="Palatino Linotype"/>
          <w:sz w:val="24"/>
          <w:szCs w:val="24"/>
        </w:rPr>
      </w:pPr>
      <w:r w:rsidRPr="00450598">
        <w:rPr>
          <w:rFonts w:ascii="Palatino Linotype" w:hAnsi="Palatino Linotype"/>
          <w:b/>
          <w:sz w:val="24"/>
          <w:szCs w:val="24"/>
        </w:rPr>
        <w:t>Inexistencia de la información, por la falta de acción de un interesado</w:t>
      </w:r>
      <w:r>
        <w:rPr>
          <w:rFonts w:ascii="Palatino Linotype" w:hAnsi="Palatino Linotype"/>
          <w:b/>
          <w:sz w:val="24"/>
          <w:szCs w:val="24"/>
        </w:rPr>
        <w:t xml:space="preserve">. </w:t>
      </w:r>
    </w:p>
    <w:p w:rsidR="00B21F85" w:rsidRPr="00801E18" w:rsidRDefault="00B21F85" w:rsidP="00B21F85">
      <w:pPr>
        <w:pStyle w:val="Prrafodelista"/>
        <w:spacing w:after="0" w:line="360" w:lineRule="auto"/>
        <w:ind w:left="426"/>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Respecto a la segunda hipótesis prevista en el artículo objeto del análisis, tenemos que posicionarnos desde una óptica procesal, por lo que es menester señalar y entender que el concepto de derecho tiene dos particulares puntos de vista; objetivos y subjetivos. </w:t>
      </w:r>
    </w:p>
    <w:p w:rsidR="00B21F85" w:rsidRDefault="00B21F85" w:rsidP="00B21F85">
      <w:pPr>
        <w:pStyle w:val="Prrafodelista"/>
        <w:spacing w:after="0" w:line="360" w:lineRule="auto"/>
        <w:ind w:left="0"/>
        <w:jc w:val="both"/>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el primer caso, el derecho objetivo, es aquel conjunto de normas, leyes, costumbres, resoluciones judiciales y preceptos doctrinarios, en el segundo caso, el derecho subjetivo versa sobre las facultades que tienen las personas para actuar en la vida jurídica.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Es así que dentro del proceso, el derecho objetivo se va a entender como el precepto legal que contempla el quehacer de la autoridad, y por otro lado, el derecho subjetivo, es entendido como algo que se tiene o no se tiene, es decir “un derecho” y de la existencia de éste, se puede derivar una pretensión, la cual es concebida como un querer, una voluntad o una intención exteriorizada, para someter el interés ajeno </w:t>
      </w:r>
      <w:r w:rsidRPr="00B21F85">
        <w:rPr>
          <w:rFonts w:ascii="Palatino Linotype" w:hAnsi="Palatino Linotype"/>
          <w:sz w:val="24"/>
          <w:szCs w:val="24"/>
        </w:rPr>
        <w:lastRenderedPageBreak/>
        <w:t>al interés propio</w:t>
      </w:r>
      <w:r>
        <w:rPr>
          <w:rStyle w:val="Refdenotaalpie"/>
          <w:rFonts w:ascii="Palatino Linotype" w:hAnsi="Palatino Linotype"/>
          <w:sz w:val="24"/>
          <w:szCs w:val="24"/>
        </w:rPr>
        <w:footnoteReference w:id="2"/>
      </w:r>
      <w:r w:rsidRPr="00B21F85">
        <w:rPr>
          <w:rFonts w:ascii="Palatino Linotype" w:hAnsi="Palatino Linotype"/>
          <w:sz w:val="24"/>
          <w:szCs w:val="24"/>
        </w:rPr>
        <w:t xml:space="preserve">, luego entonces, de la existencia de la pretensión, se puede llegar a la acción como una de las formas de materializarla.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Entender la figura de la “acción” en términos procesales, es comprender que como regla fundamental no se entiende jurisdicción sin acción; esto es, que la justicia no se mueve si no hay quien la solicite.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el caso concreto del derecho de acceso a la información, hablamos de la existencia de un derecho objetivo cuando existe un ordenamiento jurídico y/o precepto legal, que de origen a un derecho subjetivo. Es decir, distintos ordenamientos jurídicos, como; la Ley de Transparencia del Estado de México, prevé en sus artículos la facultad de los sujetos obligados de generar, poseer y administrar información y, cuya esencia es de interés público, luego entonces, el derecho subjetivo se configura como la facultad que otorga dicha norma, para que el particular pueda acceder a la información generada por el sujeto obligado, todo ello se materializará a través de una acción del particular al pretender acceder a la información relativa que la autoridad genera, la cual es la solicitud de información. </w:t>
      </w:r>
    </w:p>
    <w:p w:rsidR="00B21F85" w:rsidRPr="00B21F85" w:rsidRDefault="00B21F85" w:rsidP="00B21F85">
      <w:pPr>
        <w:pStyle w:val="Prrafodelista"/>
        <w:rPr>
          <w:rFonts w:ascii="Palatino Linotype" w:hAnsi="Palatino Linotype"/>
          <w:sz w:val="24"/>
          <w:szCs w:val="24"/>
        </w:rPr>
      </w:pPr>
    </w:p>
    <w:p w:rsid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En conclusión, la norma existe, la facultad o derecho del particular para acceder a la información también existen, todo ello de manera unilateral. Es entonces que la existencia de la pretensión de conocer información relativa a un </w:t>
      </w:r>
      <w:r w:rsidRPr="00B21F85">
        <w:rPr>
          <w:rFonts w:ascii="Palatino Linotype" w:hAnsi="Palatino Linotype"/>
          <w:b/>
          <w:sz w:val="24"/>
          <w:szCs w:val="24"/>
        </w:rPr>
        <w:t xml:space="preserve">SUJETO </w:t>
      </w:r>
      <w:r w:rsidRPr="00B21F85">
        <w:rPr>
          <w:rFonts w:ascii="Palatino Linotype" w:hAnsi="Palatino Linotype"/>
          <w:b/>
          <w:sz w:val="24"/>
          <w:szCs w:val="24"/>
        </w:rPr>
        <w:lastRenderedPageBreak/>
        <w:t>OBLIGADO</w:t>
      </w:r>
      <w:r w:rsidRPr="00B21F85">
        <w:rPr>
          <w:rFonts w:ascii="Palatino Linotype" w:hAnsi="Palatino Linotype"/>
          <w:sz w:val="24"/>
          <w:szCs w:val="24"/>
        </w:rPr>
        <w:t xml:space="preserve"> y con ello una solicitud de información, es a voluntad de terceros, por lo que puede o no existir dicha voluntad. </w:t>
      </w:r>
    </w:p>
    <w:p w:rsidR="00B21F85" w:rsidRPr="00B21F85" w:rsidRDefault="00B21F85" w:rsidP="00B21F85">
      <w:pPr>
        <w:pStyle w:val="Prrafodelista"/>
        <w:rPr>
          <w:rFonts w:ascii="Palatino Linotype" w:hAnsi="Palatino Linotype"/>
          <w:sz w:val="24"/>
          <w:szCs w:val="24"/>
        </w:rPr>
      </w:pPr>
    </w:p>
    <w:p w:rsidR="00B21F85" w:rsidRPr="00B21F85" w:rsidRDefault="00B21F85" w:rsidP="000921E9">
      <w:pPr>
        <w:pStyle w:val="Prrafodelista"/>
        <w:numPr>
          <w:ilvl w:val="0"/>
          <w:numId w:val="1"/>
        </w:numPr>
        <w:spacing w:after="0" w:line="360" w:lineRule="auto"/>
        <w:ind w:left="0" w:firstLine="0"/>
        <w:jc w:val="both"/>
        <w:rPr>
          <w:rFonts w:ascii="Palatino Linotype" w:hAnsi="Palatino Linotype"/>
          <w:sz w:val="24"/>
          <w:szCs w:val="24"/>
        </w:rPr>
      </w:pPr>
      <w:r w:rsidRPr="00B21F85">
        <w:rPr>
          <w:rFonts w:ascii="Palatino Linotype" w:hAnsi="Palatino Linotype"/>
          <w:sz w:val="24"/>
          <w:szCs w:val="24"/>
        </w:rPr>
        <w:t xml:space="preserve">De lo anterior se colige que en muchos casos la generación de la información deriva netamente de que exista un solicitante que requiera conocer la información, en caso de que no exista, la facultad, atribución o competencia del </w:t>
      </w:r>
      <w:r w:rsidRPr="00B21F85">
        <w:rPr>
          <w:rFonts w:ascii="Palatino Linotype" w:hAnsi="Palatino Linotype"/>
          <w:b/>
          <w:sz w:val="24"/>
          <w:szCs w:val="24"/>
        </w:rPr>
        <w:t>SUJETO OBLIGADO</w:t>
      </w:r>
      <w:r w:rsidRPr="00B21F85">
        <w:rPr>
          <w:rFonts w:ascii="Palatino Linotype" w:hAnsi="Palatino Linotype"/>
          <w:sz w:val="24"/>
          <w:szCs w:val="24"/>
        </w:rPr>
        <w:t xml:space="preserve"> puede o no ser ejercida y por ende la información puede o no ser generada y en éste supuesto, el sujeto obligado deberá motivar y fundamentar su respuesta en función de las causas que motiven tal circunstancia. </w:t>
      </w:r>
    </w:p>
    <w:p w:rsidR="00B21F85" w:rsidRDefault="00B21F85" w:rsidP="00B21F85">
      <w:pPr>
        <w:spacing w:after="0" w:line="360" w:lineRule="auto"/>
        <w:jc w:val="both"/>
        <w:rPr>
          <w:rFonts w:ascii="Palatino Linotype" w:hAnsi="Palatino Linotype"/>
          <w:sz w:val="24"/>
          <w:szCs w:val="24"/>
        </w:rPr>
      </w:pPr>
    </w:p>
    <w:p w:rsidR="00B21F85" w:rsidRPr="00A465C7" w:rsidRDefault="00B21F85" w:rsidP="00B21F85">
      <w:pPr>
        <w:pStyle w:val="Prrafodelista"/>
        <w:numPr>
          <w:ilvl w:val="0"/>
          <w:numId w:val="29"/>
        </w:numPr>
        <w:spacing w:after="0" w:line="360" w:lineRule="auto"/>
        <w:ind w:left="426" w:hanging="426"/>
        <w:jc w:val="both"/>
        <w:rPr>
          <w:rFonts w:ascii="Palatino Linotype" w:hAnsi="Palatino Linotype"/>
          <w:sz w:val="24"/>
          <w:szCs w:val="24"/>
        </w:rPr>
      </w:pPr>
      <w:r w:rsidRPr="00A465C7">
        <w:rPr>
          <w:rFonts w:ascii="Palatino Linotype" w:hAnsi="Palatino Linotype"/>
          <w:b/>
          <w:sz w:val="24"/>
          <w:szCs w:val="24"/>
        </w:rPr>
        <w:t>Inexistencia de la información, por incumplimiento de obligación o circunstancias ajenas al sujeto obligado</w:t>
      </w:r>
      <w:r w:rsidRPr="00A465C7">
        <w:rPr>
          <w:rFonts w:ascii="Palatino Linotype" w:hAnsi="Palatino Linotype"/>
          <w:sz w:val="24"/>
          <w:szCs w:val="24"/>
        </w:rPr>
        <w:t>:</w:t>
      </w:r>
    </w:p>
    <w:p w:rsidR="00B21F85" w:rsidRDefault="00B21F85" w:rsidP="00B21F85">
      <w:pPr>
        <w:spacing w:after="0" w:line="360" w:lineRule="auto"/>
        <w:jc w:val="both"/>
        <w:rPr>
          <w:rFonts w:ascii="Palatino Linotype" w:eastAsia="Calibri" w:hAnsi="Palatino Linotype" w:cs="Times New Roman"/>
          <w:sz w:val="24"/>
          <w:szCs w:val="24"/>
          <w:highlight w:val="yellow"/>
          <w:lang w:val="es-ES" w:eastAsia="es-ES"/>
        </w:rPr>
      </w:pPr>
    </w:p>
    <w:p w:rsidR="00B21F85" w:rsidRPr="00B21F85" w:rsidRDefault="00B21F85" w:rsidP="000921E9">
      <w:pPr>
        <w:pStyle w:val="Prrafodelista"/>
        <w:numPr>
          <w:ilvl w:val="0"/>
          <w:numId w:val="1"/>
        </w:numPr>
        <w:spacing w:after="0" w:line="360" w:lineRule="auto"/>
        <w:ind w:left="0" w:firstLine="0"/>
        <w:jc w:val="both"/>
        <w:rPr>
          <w:rFonts w:ascii="Palatino Linotype" w:eastAsia="Calibri" w:hAnsi="Palatino Linotype" w:cs="Arial"/>
          <w:sz w:val="24"/>
          <w:szCs w:val="24"/>
        </w:rPr>
      </w:pPr>
      <w:r w:rsidRPr="00B21F85">
        <w:rPr>
          <w:rFonts w:ascii="Palatino Linotype" w:eastAsia="Calibri" w:hAnsi="Palatino Linotype" w:cs="Times New Roman"/>
          <w:sz w:val="24"/>
          <w:szCs w:val="24"/>
          <w:lang w:val="es-ES" w:eastAsia="es-ES"/>
        </w:rPr>
        <w:t xml:space="preserve">Respecto a este supuesto, nos situamos en que existe el ordenamiento jurídico que establece la facultad, la atribución y las funciones e incluso la obligación del sujeto obligado para generar información, también existe la pretensión de conocer información relativa a éste y por ende, también existe la solicitud de información del particular, sin embargo, el </w:t>
      </w:r>
      <w:r w:rsidRPr="00B21F85">
        <w:rPr>
          <w:rFonts w:ascii="Palatino Linotype" w:eastAsia="Calibri" w:hAnsi="Palatino Linotype" w:cs="Times New Roman"/>
          <w:b/>
          <w:sz w:val="24"/>
          <w:szCs w:val="24"/>
          <w:lang w:val="es-ES" w:eastAsia="es-ES"/>
        </w:rPr>
        <w:t>SUJETO OBLIGADO</w:t>
      </w:r>
      <w:r w:rsidRPr="00B21F85">
        <w:rPr>
          <w:rFonts w:ascii="Palatino Linotype" w:eastAsia="Calibri" w:hAnsi="Palatino Linotype" w:cs="Times New Roman"/>
          <w:sz w:val="24"/>
          <w:szCs w:val="24"/>
          <w:lang w:val="es-ES" w:eastAsia="es-ES"/>
        </w:rPr>
        <w:t>; 1) N</w:t>
      </w:r>
      <w:r w:rsidRPr="00B21F85">
        <w:rPr>
          <w:rFonts w:ascii="Palatino Linotype" w:eastAsia="Calibri" w:hAnsi="Palatino Linotype" w:cs="Arial"/>
          <w:sz w:val="24"/>
          <w:szCs w:val="24"/>
        </w:rPr>
        <w:t xml:space="preserve">o ejerció lo que por ley le correspondía, lo que  implica que deberá probar o acreditar tal circunstancia, al tenor de que debe explicar (motivar o en su caso fundamentar) de manera correcta y adecuada por qué contando con esas facultades, competencias o funciones para generar, poseer o administrar la documentación solicitada no lo hizo y no se </w:t>
      </w:r>
      <w:r w:rsidRPr="00B21F85">
        <w:rPr>
          <w:rFonts w:ascii="Palatino Linotype" w:eastAsia="Calibri" w:hAnsi="Palatino Linotype" w:cs="Arial"/>
          <w:sz w:val="24"/>
          <w:szCs w:val="24"/>
        </w:rPr>
        <w:lastRenderedPageBreak/>
        <w:t xml:space="preserve">encuentra en su posesión, o bien  2) El </w:t>
      </w:r>
      <w:r w:rsidRPr="00B21F85">
        <w:rPr>
          <w:rFonts w:ascii="Palatino Linotype" w:eastAsia="Calibri" w:hAnsi="Palatino Linotype" w:cs="Arial"/>
          <w:b/>
          <w:sz w:val="24"/>
          <w:szCs w:val="24"/>
        </w:rPr>
        <w:t xml:space="preserve">SUJETO OBLIGADO </w:t>
      </w:r>
      <w:r w:rsidRPr="00B21F85">
        <w:rPr>
          <w:rFonts w:ascii="Palatino Linotype" w:eastAsia="Calibri" w:hAnsi="Palatino Linotype" w:cs="Arial"/>
          <w:sz w:val="24"/>
          <w:szCs w:val="24"/>
        </w:rPr>
        <w:t xml:space="preserve">sí ejerció las facultades, atribuciones y funciones que la ley le confiere y “cumplió” con la obligación de generar la información que le correspondía, sin embargo, un particular deseó conocer lo que por sus facultades generó, y el </w:t>
      </w:r>
      <w:r w:rsidRPr="00B21F85">
        <w:rPr>
          <w:rFonts w:ascii="Palatino Linotype" w:eastAsia="Calibri" w:hAnsi="Palatino Linotype" w:cs="Arial"/>
          <w:b/>
          <w:sz w:val="24"/>
          <w:szCs w:val="24"/>
        </w:rPr>
        <w:t>SUJETO OBLIGADO</w:t>
      </w:r>
      <w:r w:rsidRPr="00B21F85">
        <w:rPr>
          <w:rFonts w:ascii="Palatino Linotype" w:eastAsia="Calibri" w:hAnsi="Palatino Linotype" w:cs="Arial"/>
          <w:sz w:val="24"/>
          <w:szCs w:val="24"/>
        </w:rPr>
        <w:t xml:space="preserve"> señaló que pese a la búsqueda exhaustiva que realizó en sus archivos y en todas sus áreas competentes, por causas ajenas a él, no tiene la información solicitada, por lo que, en el mismo sentido también deberá de fundamentar y motivar de manera precisa y clara las razones por las cuales no se encuentra la información en su posesión.</w:t>
      </w:r>
    </w:p>
    <w:p w:rsidR="00483418" w:rsidRPr="00B21F85" w:rsidRDefault="00483418" w:rsidP="00B21F85">
      <w:pPr>
        <w:rPr>
          <w:rFonts w:ascii="Palatino Linotype" w:hAnsi="Palatino Linotype"/>
          <w:sz w:val="24"/>
          <w:szCs w:val="24"/>
        </w:rPr>
      </w:pPr>
    </w:p>
    <w:p w:rsidR="009B1407" w:rsidRPr="00C1625B" w:rsidRDefault="00483418" w:rsidP="009B1407">
      <w:pPr>
        <w:numPr>
          <w:ilvl w:val="0"/>
          <w:numId w:val="1"/>
        </w:numPr>
        <w:spacing w:after="0" w:line="360" w:lineRule="auto"/>
        <w:ind w:left="0" w:firstLine="0"/>
        <w:contextualSpacing/>
        <w:jc w:val="both"/>
        <w:rPr>
          <w:rFonts w:ascii="Palatino Linotype" w:hAnsi="Palatino Linotype"/>
          <w:sz w:val="24"/>
          <w:szCs w:val="24"/>
        </w:rPr>
      </w:pPr>
      <w:r w:rsidRPr="00B21F85">
        <w:rPr>
          <w:rFonts w:ascii="Palatino Linotype" w:hAnsi="Palatino Linotype"/>
          <w:sz w:val="24"/>
          <w:szCs w:val="24"/>
        </w:rPr>
        <w:t xml:space="preserve">Además es necesario señalar que el incorporar en la resolución “bastará con que así lo manifieste” o “bastará con que así lo informe” cuando del mismo resolutivo se desprende que “en caso de no localizar o de no contar” puesto que esta redacción alude a que en caso de que una vez concluida la búsqueda no se hubiese  ubicado el documento, pues que así lo informe; situación que resulta inadecuado, dado que si de la búsqueda no se localiza esto es porque nunca se generó, poseyó o administró es decir, no se ejecutó la atribución y esto trae como consecuencia que la información no exista, porque no es lo mismo, no generarla a no tenerla, por no localizarla, lo cual solo reflejaría una mala gestión documental. </w:t>
      </w:r>
      <w:r w:rsidR="00B21F85" w:rsidRPr="00B21F85">
        <w:rPr>
          <w:rFonts w:ascii="Palatino Linotype" w:hAnsi="Palatino Linotype"/>
          <w:sz w:val="24"/>
          <w:szCs w:val="24"/>
        </w:rPr>
        <w:t xml:space="preserve"> Por ello, contrario a lo que dicen ciertas voces aisladas, explicar las razones por las cuales no se ejercieron ciertas facultades, competencias o funciones no implica que se pruebe o acredite tal circunstancia, sino que el </w:t>
      </w:r>
      <w:r w:rsidR="00B21F85" w:rsidRPr="00036595">
        <w:rPr>
          <w:rFonts w:ascii="Palatino Linotype" w:hAnsi="Palatino Linotype"/>
          <w:b/>
          <w:sz w:val="24"/>
          <w:szCs w:val="24"/>
        </w:rPr>
        <w:t>SUJETO OBLIGADO</w:t>
      </w:r>
      <w:r w:rsidR="00B21F85" w:rsidRPr="00B21F85">
        <w:rPr>
          <w:rFonts w:ascii="Palatino Linotype" w:hAnsi="Palatino Linotype"/>
          <w:sz w:val="24"/>
          <w:szCs w:val="24"/>
        </w:rPr>
        <w:t xml:space="preserve"> haga una explicación (motive y de ser el caso fundamente) adecuada de porque contando con esas facultades, </w:t>
      </w:r>
      <w:r w:rsidR="00B21F85" w:rsidRPr="00B21F85">
        <w:rPr>
          <w:rFonts w:ascii="Palatino Linotype" w:hAnsi="Palatino Linotype"/>
          <w:sz w:val="24"/>
          <w:szCs w:val="24"/>
        </w:rPr>
        <w:lastRenderedPageBreak/>
        <w:t>competencias o funciones para generar, poseer o administrar la documentación solicitada no lo hizo.</w:t>
      </w:r>
    </w:p>
    <w:p w:rsidR="009B1407" w:rsidRPr="009B1407" w:rsidRDefault="009B1407" w:rsidP="009B1407"/>
    <w:p w:rsidR="00E6179D" w:rsidRPr="0083488C" w:rsidRDefault="00CD53CB" w:rsidP="00CD53CB">
      <w:pPr>
        <w:pStyle w:val="Ttulo1"/>
        <w:rPr>
          <w:rFonts w:eastAsia="Calibri"/>
          <w:szCs w:val="24"/>
        </w:rPr>
      </w:pPr>
      <w:bookmarkStart w:id="6" w:name="_Toc2634152"/>
      <w:r>
        <w:rPr>
          <w:rFonts w:eastAsia="Calibri"/>
          <w:color w:val="auto"/>
          <w:szCs w:val="24"/>
        </w:rPr>
        <w:t xml:space="preserve">V. </w:t>
      </w:r>
      <w:r w:rsidR="00E6179D" w:rsidRPr="0083488C">
        <w:rPr>
          <w:rFonts w:eastAsia="Calibri"/>
          <w:color w:val="auto"/>
          <w:szCs w:val="24"/>
        </w:rPr>
        <w:t>Conclusión.</w:t>
      </w:r>
      <w:bookmarkEnd w:id="6"/>
    </w:p>
    <w:p w:rsidR="00E6179D" w:rsidRPr="00427B79" w:rsidRDefault="00E6179D" w:rsidP="00E6179D">
      <w:pPr>
        <w:pStyle w:val="Prrafodelista"/>
        <w:ind w:left="0"/>
        <w:rPr>
          <w:rFonts w:ascii="Palatino Linotype" w:eastAsia="Calibri" w:hAnsi="Palatino Linotype" w:cs="Arial"/>
          <w:sz w:val="24"/>
          <w:szCs w:val="24"/>
        </w:rPr>
      </w:pPr>
    </w:p>
    <w:p w:rsidR="00E6179D" w:rsidRPr="00427B79" w:rsidRDefault="00E6179D" w:rsidP="000921E9">
      <w:pPr>
        <w:numPr>
          <w:ilvl w:val="0"/>
          <w:numId w:val="1"/>
        </w:numPr>
        <w:spacing w:line="360" w:lineRule="auto"/>
        <w:ind w:left="0" w:firstLine="0"/>
        <w:contextualSpacing/>
        <w:jc w:val="both"/>
        <w:rPr>
          <w:rFonts w:ascii="Palatino Linotype" w:eastAsia="Calibri" w:hAnsi="Palatino Linotype" w:cs="Arial"/>
          <w:sz w:val="24"/>
          <w:szCs w:val="24"/>
        </w:rPr>
      </w:pPr>
      <w:r w:rsidRPr="00427B79">
        <w:rPr>
          <w:rFonts w:ascii="Palatino Linotype" w:eastAsia="Calibri" w:hAnsi="Palatino Linotype" w:cs="Arial"/>
          <w:sz w:val="24"/>
          <w:szCs w:val="24"/>
        </w:rPr>
        <w:t>Por lo mencionado anteriormente, considero que es de suma importancia que en los casos que el Sujeto Obligado emita un pronunciamiento simple este debe estar debidamente fundado y motivado demostrando las razones o motivos por las que no genera, posee o administra lo solicitado, de tal manera que el particular tenga certeza jurídica de que en todo momento se está actuando con estricto apego a derecho, de lo contrario este instituto como Órgano Garante contribuiría a la afectación al derecho de acceso a la información de los particulares al consentir tales deficiencias por parte de los Sujetos Obligados.</w:t>
      </w:r>
    </w:p>
    <w:p w:rsidR="00BB48A7" w:rsidRPr="00427B79" w:rsidRDefault="00BB48A7" w:rsidP="00E6179D">
      <w:pPr>
        <w:rPr>
          <w:rFonts w:ascii="Palatino Linotype" w:hAnsi="Palatino Linotype" w:cs="Arial"/>
          <w:color w:val="000000" w:themeColor="text1"/>
          <w:sz w:val="24"/>
          <w:szCs w:val="24"/>
        </w:rPr>
      </w:pPr>
    </w:p>
    <w:p w:rsidR="00BB48A7" w:rsidRPr="00427B79" w:rsidRDefault="00BB48A7" w:rsidP="00E6179D">
      <w:pPr>
        <w:pStyle w:val="Prrafodelista"/>
        <w:spacing w:before="240" w:after="240" w:line="360" w:lineRule="auto"/>
        <w:ind w:left="0"/>
        <w:jc w:val="both"/>
        <w:rPr>
          <w:rFonts w:ascii="Palatino Linotype" w:hAnsi="Palatino Linotype" w:cs="Arial"/>
          <w:color w:val="000000" w:themeColor="text1"/>
          <w:sz w:val="24"/>
          <w:szCs w:val="24"/>
        </w:rPr>
      </w:pPr>
    </w:p>
    <w:p w:rsidR="003855C9" w:rsidRPr="00427B79" w:rsidRDefault="00C602B8" w:rsidP="00C602B8">
      <w:pPr>
        <w:tabs>
          <w:tab w:val="center" w:pos="4419"/>
          <w:tab w:val="right" w:pos="8838"/>
        </w:tabs>
        <w:spacing w:line="360" w:lineRule="auto"/>
        <w:rPr>
          <w:rFonts w:ascii="Palatino Linotype" w:eastAsia="Arial" w:hAnsi="Palatino Linotype" w:cs="Arial"/>
          <w:b/>
          <w:color w:val="000000" w:themeColor="text1"/>
          <w:sz w:val="24"/>
          <w:szCs w:val="24"/>
          <w:lang w:eastAsia="es-MX"/>
        </w:rPr>
      </w:pPr>
      <w:r>
        <w:rPr>
          <w:rFonts w:ascii="Palatino Linotype" w:eastAsia="Arial" w:hAnsi="Palatino Linotype" w:cs="Arial"/>
          <w:b/>
          <w:color w:val="000000" w:themeColor="text1"/>
          <w:sz w:val="24"/>
          <w:szCs w:val="24"/>
          <w:lang w:eastAsia="es-MX"/>
        </w:rPr>
        <w:tab/>
      </w:r>
      <w:r w:rsidR="003855C9" w:rsidRPr="00427B79">
        <w:rPr>
          <w:rFonts w:ascii="Palatino Linotype" w:eastAsia="Arial" w:hAnsi="Palatino Linotype" w:cs="Arial"/>
          <w:b/>
          <w:color w:val="000000" w:themeColor="text1"/>
          <w:sz w:val="24"/>
          <w:szCs w:val="24"/>
          <w:lang w:eastAsia="es-MX"/>
        </w:rPr>
        <w:t>JOSÉ GUADALUPE LUNA HERNÁNDEZ</w:t>
      </w:r>
      <w:r>
        <w:rPr>
          <w:rFonts w:ascii="Palatino Linotype" w:eastAsia="Arial" w:hAnsi="Palatino Linotype" w:cs="Arial"/>
          <w:b/>
          <w:color w:val="000000" w:themeColor="text1"/>
          <w:sz w:val="24"/>
          <w:szCs w:val="24"/>
          <w:lang w:eastAsia="es-MX"/>
        </w:rPr>
        <w:tab/>
      </w:r>
    </w:p>
    <w:p w:rsidR="003855C9" w:rsidRDefault="003855C9" w:rsidP="00E6179D">
      <w:pPr>
        <w:spacing w:line="360" w:lineRule="auto"/>
        <w:jc w:val="center"/>
        <w:rPr>
          <w:rFonts w:ascii="Palatino Linotype" w:eastAsia="Arial" w:hAnsi="Palatino Linotype" w:cs="Arial"/>
          <w:b/>
          <w:color w:val="000000" w:themeColor="text1"/>
          <w:sz w:val="24"/>
          <w:szCs w:val="24"/>
          <w:lang w:eastAsia="es-MX"/>
        </w:rPr>
      </w:pPr>
      <w:r w:rsidRPr="00427B79">
        <w:rPr>
          <w:rFonts w:ascii="Palatino Linotype" w:eastAsia="Arial" w:hAnsi="Palatino Linotype" w:cs="Arial"/>
          <w:b/>
          <w:color w:val="000000" w:themeColor="text1"/>
          <w:sz w:val="24"/>
          <w:szCs w:val="24"/>
          <w:lang w:eastAsia="es-MX"/>
        </w:rPr>
        <w:t>COMISIONADO</w:t>
      </w:r>
    </w:p>
    <w:p w:rsidR="00F73C04" w:rsidRDefault="00F73C04" w:rsidP="00E6179D">
      <w:pPr>
        <w:spacing w:line="360" w:lineRule="auto"/>
        <w:jc w:val="center"/>
        <w:rPr>
          <w:rFonts w:ascii="Palatino Linotype" w:eastAsia="Arial" w:hAnsi="Palatino Linotype" w:cs="Arial"/>
          <w:b/>
          <w:color w:val="000000" w:themeColor="text1"/>
          <w:sz w:val="24"/>
          <w:szCs w:val="24"/>
          <w:lang w:eastAsia="es-MX"/>
        </w:rPr>
      </w:pPr>
      <w:r>
        <w:rPr>
          <w:rFonts w:ascii="Palatino Linotype" w:eastAsia="Arial" w:hAnsi="Palatino Linotype" w:cs="Arial"/>
          <w:b/>
          <w:color w:val="000000" w:themeColor="text1"/>
          <w:sz w:val="24"/>
          <w:szCs w:val="24"/>
          <w:lang w:eastAsia="es-MX"/>
        </w:rPr>
        <w:t>(Rúbrica)</w:t>
      </w:r>
    </w:p>
    <w:p w:rsidR="00A90265" w:rsidRDefault="00A90265" w:rsidP="00E6179D">
      <w:pPr>
        <w:spacing w:line="360" w:lineRule="auto"/>
        <w:jc w:val="center"/>
        <w:rPr>
          <w:rFonts w:ascii="Palatino Linotype" w:eastAsia="Arial" w:hAnsi="Palatino Linotype" w:cs="Arial"/>
          <w:b/>
          <w:color w:val="000000" w:themeColor="text1"/>
          <w:sz w:val="24"/>
          <w:szCs w:val="24"/>
          <w:lang w:eastAsia="es-MX"/>
        </w:rPr>
      </w:pPr>
    </w:p>
    <w:p w:rsidR="003855C9" w:rsidRPr="00427B79" w:rsidRDefault="00A22908" w:rsidP="00E6179D">
      <w:pPr>
        <w:rPr>
          <w:rFonts w:ascii="Palatino Linotype" w:hAnsi="Palatino Linotype"/>
          <w:color w:val="000000" w:themeColor="text1"/>
          <w:sz w:val="24"/>
          <w:szCs w:val="24"/>
        </w:rPr>
      </w:pPr>
      <w:r>
        <w:rPr>
          <w:rFonts w:ascii="Palatino Linotype" w:hAnsi="Palatino Linotype"/>
          <w:color w:val="000000" w:themeColor="text1"/>
          <w:sz w:val="24"/>
          <w:szCs w:val="24"/>
        </w:rPr>
        <w:t>JGLH</w:t>
      </w:r>
      <w:r w:rsidR="00241D8A">
        <w:rPr>
          <w:rFonts w:ascii="Palatino Linotype" w:hAnsi="Palatino Linotype"/>
          <w:color w:val="000000" w:themeColor="text1"/>
          <w:sz w:val="24"/>
          <w:szCs w:val="24"/>
        </w:rPr>
        <w:t>/VMM</w:t>
      </w:r>
    </w:p>
    <w:sectPr w:rsidR="003855C9" w:rsidRPr="00427B79" w:rsidSect="00BB488C">
      <w:headerReference w:type="even" r:id="rId13"/>
      <w:headerReference w:type="default" r:id="rId14"/>
      <w:footerReference w:type="default" r:id="rId15"/>
      <w:headerReference w:type="first" r:id="rId16"/>
      <w:pgSz w:w="12240" w:h="15840" w:code="1"/>
      <w:pgMar w:top="2495" w:right="1701" w:bottom="249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FD0" w:rsidRDefault="00F96FD0" w:rsidP="00E82D3D">
      <w:pPr>
        <w:spacing w:after="0" w:line="240" w:lineRule="auto"/>
      </w:pPr>
      <w:r>
        <w:separator/>
      </w:r>
    </w:p>
  </w:endnote>
  <w:endnote w:type="continuationSeparator" w:id="0">
    <w:p w:rsidR="00F96FD0" w:rsidRDefault="00F96FD0" w:rsidP="00E82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097618"/>
      <w:docPartObj>
        <w:docPartGallery w:val="Page Numbers (Bottom of Page)"/>
        <w:docPartUnique/>
      </w:docPartObj>
    </w:sdtPr>
    <w:sdtEndPr/>
    <w:sdtContent>
      <w:sdt>
        <w:sdtPr>
          <w:id w:val="-1769616900"/>
          <w:docPartObj>
            <w:docPartGallery w:val="Page Numbers (Top of Page)"/>
            <w:docPartUnique/>
          </w:docPartObj>
        </w:sdtPr>
        <w:sdtEndPr/>
        <w:sdtContent>
          <w:p w:rsidR="00987C08" w:rsidRDefault="00987C0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300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3005">
              <w:rPr>
                <w:b/>
                <w:bCs/>
                <w:noProof/>
              </w:rPr>
              <w:t>37</w:t>
            </w:r>
            <w:r>
              <w:rPr>
                <w:b/>
                <w:bCs/>
                <w:sz w:val="24"/>
                <w:szCs w:val="24"/>
              </w:rPr>
              <w:fldChar w:fldCharType="end"/>
            </w:r>
          </w:p>
        </w:sdtContent>
      </w:sdt>
    </w:sdtContent>
  </w:sdt>
  <w:p w:rsidR="00987C08" w:rsidRDefault="00987C08" w:rsidP="00BB488C">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FD0" w:rsidRDefault="00F96FD0" w:rsidP="00E82D3D">
      <w:pPr>
        <w:spacing w:after="0" w:line="240" w:lineRule="auto"/>
      </w:pPr>
      <w:r>
        <w:separator/>
      </w:r>
    </w:p>
  </w:footnote>
  <w:footnote w:type="continuationSeparator" w:id="0">
    <w:p w:rsidR="00F96FD0" w:rsidRDefault="00F96FD0" w:rsidP="00E82D3D">
      <w:pPr>
        <w:spacing w:after="0" w:line="240" w:lineRule="auto"/>
      </w:pPr>
      <w:r>
        <w:continuationSeparator/>
      </w:r>
    </w:p>
  </w:footnote>
  <w:footnote w:id="1">
    <w:p w:rsidR="00B21F85" w:rsidRDefault="00B21F85" w:rsidP="00B21F85">
      <w:pPr>
        <w:pStyle w:val="Textonotapie"/>
      </w:pPr>
      <w:r>
        <w:rPr>
          <w:rStyle w:val="Refdenotaalpie"/>
        </w:rPr>
        <w:footnoteRef/>
      </w:r>
      <w:r>
        <w:t xml:space="preserve"> Reflexiones sobre las presunciones, Parra Quijano. Jairo, pag. 1. </w:t>
      </w:r>
    </w:p>
  </w:footnote>
  <w:footnote w:id="2">
    <w:p w:rsidR="00B21F85" w:rsidRDefault="00B21F85" w:rsidP="00B21F85">
      <w:pPr>
        <w:pStyle w:val="Textonotapie"/>
      </w:pPr>
      <w:r>
        <w:rPr>
          <w:rStyle w:val="Refdenotaalpie"/>
        </w:rPr>
        <w:footnoteRef/>
      </w:r>
      <w:r>
        <w:t xml:space="preserve"> Teoría General del Proceso. Gómez Lara. Oxford.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F96FD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5" o:spid="_x0000_s2049" type="#_x0000_t136" style="position:absolute;margin-left:0;margin-top:0;width:557.4pt;height:65.55pt;rotation:315;z-index:-251657216;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F96FD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6" o:spid="_x0000_s2050" type="#_x0000_t136" style="position:absolute;margin-left:0;margin-top:0;width:557.4pt;height:65.55pt;rotation:315;z-index:-251656192;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p w:rsidR="00987C08" w:rsidRDefault="00987C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C08" w:rsidRDefault="00F96FD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8008734" o:spid="_x0000_s2051" type="#_x0000_t136" style="position:absolute;margin-left:0;margin-top:0;width:557.4pt;height:65.55pt;rotation:315;z-index:-251655168;mso-position-horizontal:center;mso-position-horizontal-relative:margin;mso-position-vertical:center;mso-position-vertical-relative:margin" o:allowincell="f" fillcolor="#747070 [1614]" stroked="f">
          <v:fill opacity=".5"/>
          <v:textpath style="font-family:&quot;Arial&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64A6"/>
    <w:multiLevelType w:val="hybridMultilevel"/>
    <w:tmpl w:val="F558F2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6C7F7D"/>
    <w:multiLevelType w:val="multilevel"/>
    <w:tmpl w:val="5BB6EFEE"/>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96DDD"/>
    <w:multiLevelType w:val="hybridMultilevel"/>
    <w:tmpl w:val="8DC2F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07870FC"/>
    <w:multiLevelType w:val="hybridMultilevel"/>
    <w:tmpl w:val="1CAEC528"/>
    <w:lvl w:ilvl="0" w:tplc="358EFB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8F5329"/>
    <w:multiLevelType w:val="hybridMultilevel"/>
    <w:tmpl w:val="1B062526"/>
    <w:lvl w:ilvl="0" w:tplc="BFBC359C">
      <w:start w:val="1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E80EA6"/>
    <w:multiLevelType w:val="hybridMultilevel"/>
    <w:tmpl w:val="5A667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A73666"/>
    <w:multiLevelType w:val="hybridMultilevel"/>
    <w:tmpl w:val="5234EB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A60EE"/>
    <w:multiLevelType w:val="hybridMultilevel"/>
    <w:tmpl w:val="6F9C0C60"/>
    <w:lvl w:ilvl="0" w:tplc="88CA5424">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C2B15"/>
    <w:multiLevelType w:val="hybridMultilevel"/>
    <w:tmpl w:val="C08AFF70"/>
    <w:lvl w:ilvl="0" w:tplc="628CF2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C61FA9"/>
    <w:multiLevelType w:val="hybridMultilevel"/>
    <w:tmpl w:val="182229A4"/>
    <w:lvl w:ilvl="0" w:tplc="5AA02692">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C33F98"/>
    <w:multiLevelType w:val="hybridMultilevel"/>
    <w:tmpl w:val="095A4492"/>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22" w15:restartNumberingAfterBreak="0">
    <w:nsid w:val="44290DC3"/>
    <w:multiLevelType w:val="hybridMultilevel"/>
    <w:tmpl w:val="DE0AC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0A604D"/>
    <w:multiLevelType w:val="hybridMultilevel"/>
    <w:tmpl w:val="A0F4260C"/>
    <w:lvl w:ilvl="0" w:tplc="3B78EFA8">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614B31"/>
    <w:multiLevelType w:val="hybridMultilevel"/>
    <w:tmpl w:val="BB8A3294"/>
    <w:lvl w:ilvl="0" w:tplc="E9B0BB7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0544C"/>
    <w:multiLevelType w:val="hybridMultilevel"/>
    <w:tmpl w:val="5686AB70"/>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BE6DAE"/>
    <w:multiLevelType w:val="hybridMultilevel"/>
    <w:tmpl w:val="00E2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B579AF"/>
    <w:multiLevelType w:val="multilevel"/>
    <w:tmpl w:val="1CA2EE4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B1BAE"/>
    <w:multiLevelType w:val="hybridMultilevel"/>
    <w:tmpl w:val="5D064894"/>
    <w:lvl w:ilvl="0" w:tplc="B860BAB4">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3840472"/>
    <w:multiLevelType w:val="hybridMultilevel"/>
    <w:tmpl w:val="678E0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A61C8F"/>
    <w:multiLevelType w:val="hybridMultilevel"/>
    <w:tmpl w:val="472CE58E"/>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15:restartNumberingAfterBreak="0">
    <w:nsid w:val="69B62D5F"/>
    <w:multiLevelType w:val="hybridMultilevel"/>
    <w:tmpl w:val="763441EC"/>
    <w:lvl w:ilvl="0" w:tplc="FD1CD57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797FB5"/>
    <w:multiLevelType w:val="hybridMultilevel"/>
    <w:tmpl w:val="9FE0D2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7A3673"/>
    <w:multiLevelType w:val="hybridMultilevel"/>
    <w:tmpl w:val="0F8CB382"/>
    <w:lvl w:ilvl="0" w:tplc="E958629A">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E90497E"/>
    <w:multiLevelType w:val="hybridMultilevel"/>
    <w:tmpl w:val="76D8D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F47563"/>
    <w:multiLevelType w:val="hybridMultilevel"/>
    <w:tmpl w:val="73AE7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864B9F"/>
    <w:multiLevelType w:val="hybridMultilevel"/>
    <w:tmpl w:val="35DA33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0E2221"/>
    <w:multiLevelType w:val="hybridMultilevel"/>
    <w:tmpl w:val="559A4D8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445FEE"/>
    <w:multiLevelType w:val="hybridMultilevel"/>
    <w:tmpl w:val="E022F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9"/>
  </w:num>
  <w:num w:numId="3">
    <w:abstractNumId w:val="5"/>
  </w:num>
  <w:num w:numId="4">
    <w:abstractNumId w:val="36"/>
  </w:num>
  <w:num w:numId="5">
    <w:abstractNumId w:val="1"/>
  </w:num>
  <w:num w:numId="6">
    <w:abstractNumId w:val="2"/>
  </w:num>
  <w:num w:numId="7">
    <w:abstractNumId w:val="18"/>
  </w:num>
  <w:num w:numId="8">
    <w:abstractNumId w:val="23"/>
  </w:num>
  <w:num w:numId="9">
    <w:abstractNumId w:val="32"/>
  </w:num>
  <w:num w:numId="10">
    <w:abstractNumId w:val="21"/>
  </w:num>
  <w:num w:numId="11">
    <w:abstractNumId w:val="26"/>
  </w:num>
  <w:num w:numId="12">
    <w:abstractNumId w:val="10"/>
  </w:num>
  <w:num w:numId="13">
    <w:abstractNumId w:val="38"/>
  </w:num>
  <w:num w:numId="14">
    <w:abstractNumId w:val="37"/>
  </w:num>
  <w:num w:numId="15">
    <w:abstractNumId w:val="4"/>
  </w:num>
  <w:num w:numId="16">
    <w:abstractNumId w:val="17"/>
  </w:num>
  <w:num w:numId="17">
    <w:abstractNumId w:val="9"/>
  </w:num>
  <w:num w:numId="18">
    <w:abstractNumId w:val="13"/>
  </w:num>
  <w:num w:numId="19">
    <w:abstractNumId w:val="25"/>
  </w:num>
  <w:num w:numId="20">
    <w:abstractNumId w:val="8"/>
  </w:num>
  <w:num w:numId="21">
    <w:abstractNumId w:val="16"/>
  </w:num>
  <w:num w:numId="22">
    <w:abstractNumId w:val="34"/>
  </w:num>
  <w:num w:numId="23">
    <w:abstractNumId w:val="24"/>
  </w:num>
  <w:num w:numId="24">
    <w:abstractNumId w:val="6"/>
  </w:num>
  <w:num w:numId="25">
    <w:abstractNumId w:val="35"/>
  </w:num>
  <w:num w:numId="26">
    <w:abstractNumId w:val="27"/>
  </w:num>
  <w:num w:numId="27">
    <w:abstractNumId w:val="31"/>
  </w:num>
  <w:num w:numId="28">
    <w:abstractNumId w:val="22"/>
  </w:num>
  <w:num w:numId="29">
    <w:abstractNumId w:val="33"/>
  </w:num>
  <w:num w:numId="30">
    <w:abstractNumId w:val="39"/>
  </w:num>
  <w:num w:numId="31">
    <w:abstractNumId w:val="14"/>
  </w:num>
  <w:num w:numId="32">
    <w:abstractNumId w:val="0"/>
  </w:num>
  <w:num w:numId="33">
    <w:abstractNumId w:val="7"/>
  </w:num>
  <w:num w:numId="34">
    <w:abstractNumId w:val="15"/>
  </w:num>
  <w:num w:numId="35">
    <w:abstractNumId w:val="20"/>
  </w:num>
  <w:num w:numId="36">
    <w:abstractNumId w:val="19"/>
  </w:num>
  <w:num w:numId="37">
    <w:abstractNumId w:val="12"/>
  </w:num>
  <w:num w:numId="38">
    <w:abstractNumId w:val="30"/>
  </w:num>
  <w:num w:numId="39">
    <w:abstractNumId w:val="11"/>
  </w:num>
  <w:num w:numId="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D3D"/>
    <w:rsid w:val="00002FEE"/>
    <w:rsid w:val="00003F39"/>
    <w:rsid w:val="00007F05"/>
    <w:rsid w:val="00017704"/>
    <w:rsid w:val="00025E0E"/>
    <w:rsid w:val="0002788B"/>
    <w:rsid w:val="00033837"/>
    <w:rsid w:val="000354F0"/>
    <w:rsid w:val="0003648B"/>
    <w:rsid w:val="00036595"/>
    <w:rsid w:val="00046733"/>
    <w:rsid w:val="00047D47"/>
    <w:rsid w:val="00050071"/>
    <w:rsid w:val="00051010"/>
    <w:rsid w:val="00051B39"/>
    <w:rsid w:val="000550BB"/>
    <w:rsid w:val="000602CB"/>
    <w:rsid w:val="0006430D"/>
    <w:rsid w:val="00064C7C"/>
    <w:rsid w:val="00075BC8"/>
    <w:rsid w:val="00077E58"/>
    <w:rsid w:val="00080138"/>
    <w:rsid w:val="00082116"/>
    <w:rsid w:val="00083196"/>
    <w:rsid w:val="0008550B"/>
    <w:rsid w:val="000921E9"/>
    <w:rsid w:val="0009506C"/>
    <w:rsid w:val="000957D0"/>
    <w:rsid w:val="00096CC2"/>
    <w:rsid w:val="000A17C5"/>
    <w:rsid w:val="000B09D7"/>
    <w:rsid w:val="000B2BE4"/>
    <w:rsid w:val="000C57DB"/>
    <w:rsid w:val="000D3EE5"/>
    <w:rsid w:val="000D647C"/>
    <w:rsid w:val="000D75B5"/>
    <w:rsid w:val="000D78CD"/>
    <w:rsid w:val="000E1ACA"/>
    <w:rsid w:val="000E4D6E"/>
    <w:rsid w:val="000F6EC0"/>
    <w:rsid w:val="00102360"/>
    <w:rsid w:val="00113C80"/>
    <w:rsid w:val="00113E8A"/>
    <w:rsid w:val="001240A5"/>
    <w:rsid w:val="00131C89"/>
    <w:rsid w:val="00132BDB"/>
    <w:rsid w:val="00147D04"/>
    <w:rsid w:val="0016014E"/>
    <w:rsid w:val="001604B4"/>
    <w:rsid w:val="0016671B"/>
    <w:rsid w:val="001708DF"/>
    <w:rsid w:val="001725DC"/>
    <w:rsid w:val="0018245A"/>
    <w:rsid w:val="001833A7"/>
    <w:rsid w:val="0018421D"/>
    <w:rsid w:val="001849AC"/>
    <w:rsid w:val="00186C36"/>
    <w:rsid w:val="00187407"/>
    <w:rsid w:val="001A3506"/>
    <w:rsid w:val="001A4E6E"/>
    <w:rsid w:val="001A5DCA"/>
    <w:rsid w:val="001A7D89"/>
    <w:rsid w:val="001B19B4"/>
    <w:rsid w:val="001C23BB"/>
    <w:rsid w:val="001C3DD0"/>
    <w:rsid w:val="001C6366"/>
    <w:rsid w:val="001D35E2"/>
    <w:rsid w:val="001D47E3"/>
    <w:rsid w:val="001D71D8"/>
    <w:rsid w:val="001D7C57"/>
    <w:rsid w:val="001E1AE7"/>
    <w:rsid w:val="001E5635"/>
    <w:rsid w:val="001F05DA"/>
    <w:rsid w:val="001F0E58"/>
    <w:rsid w:val="001F1428"/>
    <w:rsid w:val="00202AE6"/>
    <w:rsid w:val="0022191E"/>
    <w:rsid w:val="00223548"/>
    <w:rsid w:val="00224B9E"/>
    <w:rsid w:val="002255A9"/>
    <w:rsid w:val="00230205"/>
    <w:rsid w:val="00235438"/>
    <w:rsid w:val="00240141"/>
    <w:rsid w:val="00241D8A"/>
    <w:rsid w:val="00252BB6"/>
    <w:rsid w:val="00256514"/>
    <w:rsid w:val="00256E57"/>
    <w:rsid w:val="002643E6"/>
    <w:rsid w:val="002650C2"/>
    <w:rsid w:val="00265FB2"/>
    <w:rsid w:val="00270126"/>
    <w:rsid w:val="00270A4F"/>
    <w:rsid w:val="0027212F"/>
    <w:rsid w:val="002728F2"/>
    <w:rsid w:val="00273862"/>
    <w:rsid w:val="00295D28"/>
    <w:rsid w:val="002962A4"/>
    <w:rsid w:val="002A2E8D"/>
    <w:rsid w:val="002A3111"/>
    <w:rsid w:val="002A3E3F"/>
    <w:rsid w:val="002B02A8"/>
    <w:rsid w:val="002B1FE5"/>
    <w:rsid w:val="002B30C5"/>
    <w:rsid w:val="002B6741"/>
    <w:rsid w:val="002C0B0D"/>
    <w:rsid w:val="002C1A0B"/>
    <w:rsid w:val="002C4ACE"/>
    <w:rsid w:val="002D2F58"/>
    <w:rsid w:val="002D4033"/>
    <w:rsid w:val="002E3ED2"/>
    <w:rsid w:val="002E691F"/>
    <w:rsid w:val="002F79FF"/>
    <w:rsid w:val="00302CEB"/>
    <w:rsid w:val="00305CE0"/>
    <w:rsid w:val="00315772"/>
    <w:rsid w:val="003170B3"/>
    <w:rsid w:val="00317725"/>
    <w:rsid w:val="0032084C"/>
    <w:rsid w:val="0032240B"/>
    <w:rsid w:val="003258B6"/>
    <w:rsid w:val="0032670C"/>
    <w:rsid w:val="003267BA"/>
    <w:rsid w:val="00332757"/>
    <w:rsid w:val="003564CA"/>
    <w:rsid w:val="00360A7B"/>
    <w:rsid w:val="0036141D"/>
    <w:rsid w:val="003617E4"/>
    <w:rsid w:val="003676A8"/>
    <w:rsid w:val="003722F0"/>
    <w:rsid w:val="00376B99"/>
    <w:rsid w:val="00377B5A"/>
    <w:rsid w:val="00384DBA"/>
    <w:rsid w:val="003855C9"/>
    <w:rsid w:val="00386739"/>
    <w:rsid w:val="003875DC"/>
    <w:rsid w:val="00387F6B"/>
    <w:rsid w:val="00391E5E"/>
    <w:rsid w:val="003965B8"/>
    <w:rsid w:val="003A0E53"/>
    <w:rsid w:val="003A31EF"/>
    <w:rsid w:val="003A4962"/>
    <w:rsid w:val="003C19DC"/>
    <w:rsid w:val="003C37C6"/>
    <w:rsid w:val="003C7F8A"/>
    <w:rsid w:val="003D41BA"/>
    <w:rsid w:val="003D42E2"/>
    <w:rsid w:val="003D7278"/>
    <w:rsid w:val="003D74AD"/>
    <w:rsid w:val="003E0648"/>
    <w:rsid w:val="003E12FC"/>
    <w:rsid w:val="003F0FAA"/>
    <w:rsid w:val="003F1617"/>
    <w:rsid w:val="00401477"/>
    <w:rsid w:val="00410B42"/>
    <w:rsid w:val="0041189B"/>
    <w:rsid w:val="00413714"/>
    <w:rsid w:val="00421B1A"/>
    <w:rsid w:val="00423C67"/>
    <w:rsid w:val="00426D97"/>
    <w:rsid w:val="00427B43"/>
    <w:rsid w:val="00427B79"/>
    <w:rsid w:val="004340E4"/>
    <w:rsid w:val="00434E1A"/>
    <w:rsid w:val="00436338"/>
    <w:rsid w:val="00436541"/>
    <w:rsid w:val="00437D14"/>
    <w:rsid w:val="004440DE"/>
    <w:rsid w:val="00454A8A"/>
    <w:rsid w:val="0045613E"/>
    <w:rsid w:val="0046231E"/>
    <w:rsid w:val="004633B7"/>
    <w:rsid w:val="00466F4A"/>
    <w:rsid w:val="00470840"/>
    <w:rsid w:val="00472C78"/>
    <w:rsid w:val="004733AF"/>
    <w:rsid w:val="0047567F"/>
    <w:rsid w:val="00480F5B"/>
    <w:rsid w:val="00483418"/>
    <w:rsid w:val="0048628E"/>
    <w:rsid w:val="00494B01"/>
    <w:rsid w:val="00497F7C"/>
    <w:rsid w:val="004A4304"/>
    <w:rsid w:val="004A5F86"/>
    <w:rsid w:val="004B5385"/>
    <w:rsid w:val="004C57A6"/>
    <w:rsid w:val="004D772F"/>
    <w:rsid w:val="004E6D94"/>
    <w:rsid w:val="004F360B"/>
    <w:rsid w:val="004F3ABB"/>
    <w:rsid w:val="004F4DA5"/>
    <w:rsid w:val="00501D40"/>
    <w:rsid w:val="00510EE4"/>
    <w:rsid w:val="00522308"/>
    <w:rsid w:val="0052306C"/>
    <w:rsid w:val="005328D3"/>
    <w:rsid w:val="005441DE"/>
    <w:rsid w:val="005503D3"/>
    <w:rsid w:val="00554B28"/>
    <w:rsid w:val="005556CA"/>
    <w:rsid w:val="005565CE"/>
    <w:rsid w:val="005650D9"/>
    <w:rsid w:val="00567957"/>
    <w:rsid w:val="00570B7C"/>
    <w:rsid w:val="005905A5"/>
    <w:rsid w:val="00590C2D"/>
    <w:rsid w:val="00594E5C"/>
    <w:rsid w:val="005A2F43"/>
    <w:rsid w:val="005A5C01"/>
    <w:rsid w:val="005B2060"/>
    <w:rsid w:val="005C0258"/>
    <w:rsid w:val="005C3F74"/>
    <w:rsid w:val="005C5909"/>
    <w:rsid w:val="005D0118"/>
    <w:rsid w:val="005D0248"/>
    <w:rsid w:val="005D1F96"/>
    <w:rsid w:val="005D2393"/>
    <w:rsid w:val="005E5192"/>
    <w:rsid w:val="005F30BC"/>
    <w:rsid w:val="005F3E96"/>
    <w:rsid w:val="00611694"/>
    <w:rsid w:val="0061188C"/>
    <w:rsid w:val="00617ACF"/>
    <w:rsid w:val="00625C44"/>
    <w:rsid w:val="006262ED"/>
    <w:rsid w:val="006319DC"/>
    <w:rsid w:val="00645585"/>
    <w:rsid w:val="006562FF"/>
    <w:rsid w:val="00672D4A"/>
    <w:rsid w:val="00673029"/>
    <w:rsid w:val="00675CF8"/>
    <w:rsid w:val="00676187"/>
    <w:rsid w:val="00680533"/>
    <w:rsid w:val="006864CA"/>
    <w:rsid w:val="00686870"/>
    <w:rsid w:val="006937EC"/>
    <w:rsid w:val="006951FC"/>
    <w:rsid w:val="00697C15"/>
    <w:rsid w:val="006A0BDD"/>
    <w:rsid w:val="006A3003"/>
    <w:rsid w:val="006B39ED"/>
    <w:rsid w:val="006C5E0D"/>
    <w:rsid w:val="006D3C8A"/>
    <w:rsid w:val="006E22C9"/>
    <w:rsid w:val="006F081D"/>
    <w:rsid w:val="006F0A01"/>
    <w:rsid w:val="007015AB"/>
    <w:rsid w:val="00715A51"/>
    <w:rsid w:val="00720807"/>
    <w:rsid w:val="00720D2F"/>
    <w:rsid w:val="00723CDA"/>
    <w:rsid w:val="00730193"/>
    <w:rsid w:val="007349D6"/>
    <w:rsid w:val="00740A46"/>
    <w:rsid w:val="00740DA3"/>
    <w:rsid w:val="00744BA1"/>
    <w:rsid w:val="00744F8C"/>
    <w:rsid w:val="00754249"/>
    <w:rsid w:val="00761D8C"/>
    <w:rsid w:val="007626E7"/>
    <w:rsid w:val="00772B4B"/>
    <w:rsid w:val="00773AAF"/>
    <w:rsid w:val="007763E8"/>
    <w:rsid w:val="007777F1"/>
    <w:rsid w:val="00780F47"/>
    <w:rsid w:val="00786073"/>
    <w:rsid w:val="00787B93"/>
    <w:rsid w:val="007910FD"/>
    <w:rsid w:val="00797A31"/>
    <w:rsid w:val="007A1EB0"/>
    <w:rsid w:val="007A304C"/>
    <w:rsid w:val="007A4C87"/>
    <w:rsid w:val="007A5444"/>
    <w:rsid w:val="007A671C"/>
    <w:rsid w:val="007B0214"/>
    <w:rsid w:val="007B0E23"/>
    <w:rsid w:val="007B2DD9"/>
    <w:rsid w:val="007D037D"/>
    <w:rsid w:val="007D03AB"/>
    <w:rsid w:val="007D1783"/>
    <w:rsid w:val="007D2D36"/>
    <w:rsid w:val="007D7732"/>
    <w:rsid w:val="007E2065"/>
    <w:rsid w:val="007E48FF"/>
    <w:rsid w:val="007F063A"/>
    <w:rsid w:val="007F7A9D"/>
    <w:rsid w:val="0080377C"/>
    <w:rsid w:val="00804A5D"/>
    <w:rsid w:val="00806194"/>
    <w:rsid w:val="00806C2E"/>
    <w:rsid w:val="008076C1"/>
    <w:rsid w:val="00807E40"/>
    <w:rsid w:val="008126FB"/>
    <w:rsid w:val="00817655"/>
    <w:rsid w:val="008216B4"/>
    <w:rsid w:val="00821BFF"/>
    <w:rsid w:val="008232B6"/>
    <w:rsid w:val="00831AE8"/>
    <w:rsid w:val="00831B0F"/>
    <w:rsid w:val="0083488C"/>
    <w:rsid w:val="00835C8D"/>
    <w:rsid w:val="00843E5B"/>
    <w:rsid w:val="008461BC"/>
    <w:rsid w:val="0084698E"/>
    <w:rsid w:val="00850B8D"/>
    <w:rsid w:val="00852C16"/>
    <w:rsid w:val="00856D24"/>
    <w:rsid w:val="008572C3"/>
    <w:rsid w:val="00857FB4"/>
    <w:rsid w:val="00860A8A"/>
    <w:rsid w:val="00862F04"/>
    <w:rsid w:val="00865C88"/>
    <w:rsid w:val="00871B60"/>
    <w:rsid w:val="008747CB"/>
    <w:rsid w:val="00876065"/>
    <w:rsid w:val="008825D2"/>
    <w:rsid w:val="008843B2"/>
    <w:rsid w:val="00884EFF"/>
    <w:rsid w:val="00886DFE"/>
    <w:rsid w:val="00894E97"/>
    <w:rsid w:val="008B030F"/>
    <w:rsid w:val="008B04BB"/>
    <w:rsid w:val="008C63A7"/>
    <w:rsid w:val="008D4328"/>
    <w:rsid w:val="008E733E"/>
    <w:rsid w:val="008F212A"/>
    <w:rsid w:val="008F2800"/>
    <w:rsid w:val="0090262D"/>
    <w:rsid w:val="0090574B"/>
    <w:rsid w:val="00906020"/>
    <w:rsid w:val="009143F1"/>
    <w:rsid w:val="00920E8D"/>
    <w:rsid w:val="00922197"/>
    <w:rsid w:val="00922D55"/>
    <w:rsid w:val="00930786"/>
    <w:rsid w:val="0093474A"/>
    <w:rsid w:val="009447DE"/>
    <w:rsid w:val="00945937"/>
    <w:rsid w:val="00950BDB"/>
    <w:rsid w:val="009547CD"/>
    <w:rsid w:val="00962385"/>
    <w:rsid w:val="00964E10"/>
    <w:rsid w:val="0098297D"/>
    <w:rsid w:val="00983DEC"/>
    <w:rsid w:val="00984119"/>
    <w:rsid w:val="00984681"/>
    <w:rsid w:val="00987C08"/>
    <w:rsid w:val="00994A15"/>
    <w:rsid w:val="00995C55"/>
    <w:rsid w:val="009A081B"/>
    <w:rsid w:val="009A0D68"/>
    <w:rsid w:val="009A2638"/>
    <w:rsid w:val="009A2D39"/>
    <w:rsid w:val="009A33F0"/>
    <w:rsid w:val="009A5621"/>
    <w:rsid w:val="009B1407"/>
    <w:rsid w:val="009B3A5C"/>
    <w:rsid w:val="009B713A"/>
    <w:rsid w:val="009C1A2E"/>
    <w:rsid w:val="009C7267"/>
    <w:rsid w:val="009C72FE"/>
    <w:rsid w:val="009D3902"/>
    <w:rsid w:val="009D4E0C"/>
    <w:rsid w:val="009E0EE0"/>
    <w:rsid w:val="009F02EB"/>
    <w:rsid w:val="009F4960"/>
    <w:rsid w:val="009F64D8"/>
    <w:rsid w:val="009F6B96"/>
    <w:rsid w:val="009F7A37"/>
    <w:rsid w:val="009F7B67"/>
    <w:rsid w:val="00A02ED0"/>
    <w:rsid w:val="00A1541E"/>
    <w:rsid w:val="00A22908"/>
    <w:rsid w:val="00A23B00"/>
    <w:rsid w:val="00A245A7"/>
    <w:rsid w:val="00A276D9"/>
    <w:rsid w:val="00A2786C"/>
    <w:rsid w:val="00A37A86"/>
    <w:rsid w:val="00A42F36"/>
    <w:rsid w:val="00A43A7A"/>
    <w:rsid w:val="00A46EBA"/>
    <w:rsid w:val="00A510F9"/>
    <w:rsid w:val="00A5179E"/>
    <w:rsid w:val="00A554F5"/>
    <w:rsid w:val="00A61107"/>
    <w:rsid w:val="00A649E1"/>
    <w:rsid w:val="00A672A5"/>
    <w:rsid w:val="00A717F7"/>
    <w:rsid w:val="00A749B1"/>
    <w:rsid w:val="00A82E8C"/>
    <w:rsid w:val="00A84374"/>
    <w:rsid w:val="00A90265"/>
    <w:rsid w:val="00AA0FB7"/>
    <w:rsid w:val="00AA39FC"/>
    <w:rsid w:val="00AC4FE5"/>
    <w:rsid w:val="00AC640A"/>
    <w:rsid w:val="00AD0558"/>
    <w:rsid w:val="00AD1BEF"/>
    <w:rsid w:val="00AD4195"/>
    <w:rsid w:val="00AD5621"/>
    <w:rsid w:val="00AE0090"/>
    <w:rsid w:val="00AE08B4"/>
    <w:rsid w:val="00AE3DF4"/>
    <w:rsid w:val="00AF1B72"/>
    <w:rsid w:val="00B07ADB"/>
    <w:rsid w:val="00B16CE1"/>
    <w:rsid w:val="00B2190C"/>
    <w:rsid w:val="00B21F85"/>
    <w:rsid w:val="00B259AE"/>
    <w:rsid w:val="00B2759C"/>
    <w:rsid w:val="00B32C98"/>
    <w:rsid w:val="00B3675E"/>
    <w:rsid w:val="00B41044"/>
    <w:rsid w:val="00B516DB"/>
    <w:rsid w:val="00B52EEC"/>
    <w:rsid w:val="00B57FAA"/>
    <w:rsid w:val="00B64246"/>
    <w:rsid w:val="00B73B30"/>
    <w:rsid w:val="00B83FC5"/>
    <w:rsid w:val="00B847EF"/>
    <w:rsid w:val="00B91C16"/>
    <w:rsid w:val="00B9285A"/>
    <w:rsid w:val="00B97DB6"/>
    <w:rsid w:val="00BB271A"/>
    <w:rsid w:val="00BB27D3"/>
    <w:rsid w:val="00BB325C"/>
    <w:rsid w:val="00BB4414"/>
    <w:rsid w:val="00BB488C"/>
    <w:rsid w:val="00BB48A7"/>
    <w:rsid w:val="00BC31E0"/>
    <w:rsid w:val="00BD16B5"/>
    <w:rsid w:val="00BD2985"/>
    <w:rsid w:val="00BD4F54"/>
    <w:rsid w:val="00BD63E7"/>
    <w:rsid w:val="00BF6F65"/>
    <w:rsid w:val="00BF70DB"/>
    <w:rsid w:val="00C0383A"/>
    <w:rsid w:val="00C076A9"/>
    <w:rsid w:val="00C1158A"/>
    <w:rsid w:val="00C130B3"/>
    <w:rsid w:val="00C1625B"/>
    <w:rsid w:val="00C17563"/>
    <w:rsid w:val="00C20869"/>
    <w:rsid w:val="00C43E73"/>
    <w:rsid w:val="00C4764C"/>
    <w:rsid w:val="00C544E1"/>
    <w:rsid w:val="00C547F0"/>
    <w:rsid w:val="00C602B8"/>
    <w:rsid w:val="00C6233A"/>
    <w:rsid w:val="00C66C13"/>
    <w:rsid w:val="00C73E2A"/>
    <w:rsid w:val="00C752C4"/>
    <w:rsid w:val="00C753D8"/>
    <w:rsid w:val="00C824DB"/>
    <w:rsid w:val="00C83D11"/>
    <w:rsid w:val="00C9078E"/>
    <w:rsid w:val="00C93875"/>
    <w:rsid w:val="00CA2B8E"/>
    <w:rsid w:val="00CB2472"/>
    <w:rsid w:val="00CB26E2"/>
    <w:rsid w:val="00CB2E4E"/>
    <w:rsid w:val="00CC3ACF"/>
    <w:rsid w:val="00CC7CC1"/>
    <w:rsid w:val="00CD53CB"/>
    <w:rsid w:val="00CD6AB1"/>
    <w:rsid w:val="00CD6EAF"/>
    <w:rsid w:val="00CE252C"/>
    <w:rsid w:val="00CE55B7"/>
    <w:rsid w:val="00CF0462"/>
    <w:rsid w:val="00CF1560"/>
    <w:rsid w:val="00CF242A"/>
    <w:rsid w:val="00CF3D2E"/>
    <w:rsid w:val="00D0055C"/>
    <w:rsid w:val="00D05844"/>
    <w:rsid w:val="00D061BB"/>
    <w:rsid w:val="00D11834"/>
    <w:rsid w:val="00D152FB"/>
    <w:rsid w:val="00D207EA"/>
    <w:rsid w:val="00D2727B"/>
    <w:rsid w:val="00D31010"/>
    <w:rsid w:val="00D35915"/>
    <w:rsid w:val="00D35B4C"/>
    <w:rsid w:val="00D36317"/>
    <w:rsid w:val="00D37ED5"/>
    <w:rsid w:val="00D40E34"/>
    <w:rsid w:val="00D51491"/>
    <w:rsid w:val="00D549C7"/>
    <w:rsid w:val="00D92BA5"/>
    <w:rsid w:val="00D93005"/>
    <w:rsid w:val="00D93A70"/>
    <w:rsid w:val="00D9735C"/>
    <w:rsid w:val="00DA5A47"/>
    <w:rsid w:val="00DB39B5"/>
    <w:rsid w:val="00DB53B7"/>
    <w:rsid w:val="00DC4358"/>
    <w:rsid w:val="00DC792E"/>
    <w:rsid w:val="00DD14BB"/>
    <w:rsid w:val="00DE7A32"/>
    <w:rsid w:val="00DF018D"/>
    <w:rsid w:val="00DF782C"/>
    <w:rsid w:val="00E04374"/>
    <w:rsid w:val="00E10CF1"/>
    <w:rsid w:val="00E15203"/>
    <w:rsid w:val="00E216B3"/>
    <w:rsid w:val="00E23555"/>
    <w:rsid w:val="00E27554"/>
    <w:rsid w:val="00E27A90"/>
    <w:rsid w:val="00E317C2"/>
    <w:rsid w:val="00E350C4"/>
    <w:rsid w:val="00E3588D"/>
    <w:rsid w:val="00E41E1B"/>
    <w:rsid w:val="00E41E9C"/>
    <w:rsid w:val="00E479EF"/>
    <w:rsid w:val="00E51DF4"/>
    <w:rsid w:val="00E535E4"/>
    <w:rsid w:val="00E61519"/>
    <w:rsid w:val="00E6179D"/>
    <w:rsid w:val="00E676E0"/>
    <w:rsid w:val="00E82D3D"/>
    <w:rsid w:val="00E86F52"/>
    <w:rsid w:val="00E90F45"/>
    <w:rsid w:val="00E93266"/>
    <w:rsid w:val="00E965B4"/>
    <w:rsid w:val="00EA110C"/>
    <w:rsid w:val="00EA33CD"/>
    <w:rsid w:val="00EA7D41"/>
    <w:rsid w:val="00EB2D01"/>
    <w:rsid w:val="00EB7AAD"/>
    <w:rsid w:val="00EC6B7E"/>
    <w:rsid w:val="00EE33E5"/>
    <w:rsid w:val="00EF21BF"/>
    <w:rsid w:val="00EF3EA6"/>
    <w:rsid w:val="00EF6FDF"/>
    <w:rsid w:val="00F00B7C"/>
    <w:rsid w:val="00F01271"/>
    <w:rsid w:val="00F05B63"/>
    <w:rsid w:val="00F1169F"/>
    <w:rsid w:val="00F1403B"/>
    <w:rsid w:val="00F26CE5"/>
    <w:rsid w:val="00F30EE8"/>
    <w:rsid w:val="00F333C8"/>
    <w:rsid w:val="00F41722"/>
    <w:rsid w:val="00F44EAA"/>
    <w:rsid w:val="00F665AF"/>
    <w:rsid w:val="00F72355"/>
    <w:rsid w:val="00F73C04"/>
    <w:rsid w:val="00F8373B"/>
    <w:rsid w:val="00F92E97"/>
    <w:rsid w:val="00F96FD0"/>
    <w:rsid w:val="00FA571E"/>
    <w:rsid w:val="00FA6405"/>
    <w:rsid w:val="00FA79CE"/>
    <w:rsid w:val="00FB227F"/>
    <w:rsid w:val="00FB274F"/>
    <w:rsid w:val="00FC4706"/>
    <w:rsid w:val="00FC605B"/>
    <w:rsid w:val="00FD0F02"/>
    <w:rsid w:val="00FD1FAD"/>
    <w:rsid w:val="00FE3088"/>
    <w:rsid w:val="00FE3923"/>
    <w:rsid w:val="00FF3621"/>
    <w:rsid w:val="00FF62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FE2A249-A106-482D-AF60-ED48C88A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655"/>
  </w:style>
  <w:style w:type="paragraph" w:styleId="Ttulo1">
    <w:name w:val="heading 1"/>
    <w:basedOn w:val="Normal"/>
    <w:next w:val="Normal"/>
    <w:link w:val="Ttulo1Car"/>
    <w:uiPriority w:val="9"/>
    <w:qFormat/>
    <w:rsid w:val="00B2190C"/>
    <w:pPr>
      <w:keepNext/>
      <w:keepLines/>
      <w:spacing w:before="240" w:after="0"/>
      <w:outlineLvl w:val="0"/>
    </w:pPr>
    <w:rPr>
      <w:rFonts w:ascii="Palatino Linotype" w:eastAsiaTheme="majorEastAsia" w:hAnsi="Palatino Linotype" w:cstheme="majorBidi"/>
      <w:b/>
      <w:color w:val="000000" w:themeColor="text1"/>
      <w:sz w:val="24"/>
      <w:szCs w:val="32"/>
    </w:rPr>
  </w:style>
  <w:style w:type="paragraph" w:styleId="Ttulo2">
    <w:name w:val="heading 2"/>
    <w:basedOn w:val="Normal"/>
    <w:next w:val="Normal"/>
    <w:link w:val="Ttulo2Car"/>
    <w:uiPriority w:val="9"/>
    <w:semiHidden/>
    <w:unhideWhenUsed/>
    <w:qFormat/>
    <w:rsid w:val="000A17C5"/>
    <w:pPr>
      <w:keepNext/>
      <w:keepLines/>
      <w:spacing w:before="40" w:after="0"/>
      <w:outlineLvl w:val="1"/>
    </w:pPr>
    <w:rPr>
      <w:rFonts w:ascii="Palatino Linotype" w:eastAsiaTheme="majorEastAsia" w:hAnsi="Palatino Linotype" w:cstheme="majorBidi"/>
      <w:color w:val="000000" w:themeColor="text1"/>
      <w:sz w:val="24"/>
      <w:szCs w:val="26"/>
    </w:rPr>
  </w:style>
  <w:style w:type="paragraph" w:styleId="Ttulo3">
    <w:name w:val="heading 3"/>
    <w:basedOn w:val="Normal"/>
    <w:next w:val="Normal"/>
    <w:link w:val="Ttulo3Car"/>
    <w:uiPriority w:val="9"/>
    <w:semiHidden/>
    <w:unhideWhenUsed/>
    <w:qFormat/>
    <w:rsid w:val="00385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E82D3D"/>
    <w:pPr>
      <w:spacing w:after="0" w:line="240" w:lineRule="auto"/>
    </w:pPr>
    <w:rPr>
      <w:sz w:val="20"/>
      <w:szCs w:val="20"/>
    </w:rPr>
  </w:style>
  <w:style w:type="character" w:customStyle="1" w:styleId="TextonotapieCar">
    <w:name w:val="Texto nota pie Car"/>
    <w:basedOn w:val="Fuentedeprrafopredeter"/>
    <w:link w:val="Textonotapie"/>
    <w:uiPriority w:val="99"/>
    <w:rsid w:val="00E82D3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
    <w:basedOn w:val="Fuentedeprrafopredeter"/>
    <w:uiPriority w:val="99"/>
    <w:unhideWhenUsed/>
    <w:rsid w:val="00E82D3D"/>
    <w:rPr>
      <w:vertAlign w:val="superscript"/>
    </w:rPr>
  </w:style>
  <w:style w:type="paragraph" w:styleId="Piedepgina">
    <w:name w:val="footer"/>
    <w:basedOn w:val="Normal"/>
    <w:link w:val="PiedepginaCar"/>
    <w:uiPriority w:val="99"/>
    <w:unhideWhenUsed/>
    <w:rsid w:val="00E82D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2D3D"/>
  </w:style>
  <w:style w:type="paragraph" w:styleId="Encabezado">
    <w:name w:val="header"/>
    <w:basedOn w:val="Normal"/>
    <w:link w:val="EncabezadoCar"/>
    <w:uiPriority w:val="99"/>
    <w:unhideWhenUsed/>
    <w:rsid w:val="00E82D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2D3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A2D39"/>
    <w:pPr>
      <w:ind w:left="720"/>
      <w:contextualSpacing/>
    </w:pPr>
  </w:style>
  <w:style w:type="paragraph" w:styleId="Textodeglobo">
    <w:name w:val="Balloon Text"/>
    <w:basedOn w:val="Normal"/>
    <w:link w:val="TextodegloboCar"/>
    <w:uiPriority w:val="99"/>
    <w:semiHidden/>
    <w:unhideWhenUsed/>
    <w:rsid w:val="001B19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9B4"/>
    <w:rPr>
      <w:rFonts w:ascii="Segoe UI" w:hAnsi="Segoe UI" w:cs="Segoe UI"/>
      <w:sz w:val="18"/>
      <w:szCs w:val="18"/>
    </w:rPr>
  </w:style>
  <w:style w:type="character" w:customStyle="1" w:styleId="Ttulo1Car">
    <w:name w:val="Título 1 Car"/>
    <w:basedOn w:val="Fuentedeprrafopredeter"/>
    <w:link w:val="Ttulo1"/>
    <w:uiPriority w:val="9"/>
    <w:rsid w:val="00B2190C"/>
    <w:rPr>
      <w:rFonts w:ascii="Palatino Linotype" w:eastAsiaTheme="majorEastAsia" w:hAnsi="Palatino Linotype" w:cstheme="majorBidi"/>
      <w:b/>
      <w:color w:val="000000" w:themeColor="text1"/>
      <w:sz w:val="24"/>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E7A32"/>
  </w:style>
  <w:style w:type="paragraph" w:styleId="Sinespaciado">
    <w:name w:val="No Spacing"/>
    <w:aliases w:val="Francesa"/>
    <w:link w:val="SinespaciadoCar"/>
    <w:uiPriority w:val="1"/>
    <w:qFormat/>
    <w:rsid w:val="00DE7A32"/>
    <w:pPr>
      <w:spacing w:after="0" w:line="240" w:lineRule="auto"/>
    </w:pPr>
  </w:style>
  <w:style w:type="paragraph" w:styleId="TtulodeTDC">
    <w:name w:val="TOC Heading"/>
    <w:basedOn w:val="Ttulo1"/>
    <w:next w:val="Normal"/>
    <w:uiPriority w:val="39"/>
    <w:unhideWhenUsed/>
    <w:qFormat/>
    <w:rsid w:val="00DE7A32"/>
    <w:pPr>
      <w:outlineLvl w:val="9"/>
    </w:pPr>
    <w:rPr>
      <w:lang w:eastAsia="es-MX"/>
    </w:rPr>
  </w:style>
  <w:style w:type="paragraph" w:styleId="TDC1">
    <w:name w:val="toc 1"/>
    <w:basedOn w:val="Normal"/>
    <w:next w:val="Normal"/>
    <w:autoRedefine/>
    <w:uiPriority w:val="39"/>
    <w:unhideWhenUsed/>
    <w:rsid w:val="001833A7"/>
    <w:pPr>
      <w:tabs>
        <w:tab w:val="left" w:pos="440"/>
        <w:tab w:val="left" w:pos="880"/>
        <w:tab w:val="right" w:leader="dot" w:pos="8828"/>
      </w:tabs>
      <w:spacing w:after="100"/>
      <w:ind w:left="284"/>
      <w:jc w:val="both"/>
    </w:pPr>
    <w:rPr>
      <w:rFonts w:ascii="Palatino Linotype" w:hAnsi="Palatino Linotype"/>
      <w:b/>
      <w:noProof/>
      <w:sz w:val="20"/>
      <w:szCs w:val="20"/>
    </w:rPr>
  </w:style>
  <w:style w:type="character" w:styleId="Hipervnculo">
    <w:name w:val="Hyperlink"/>
    <w:basedOn w:val="Fuentedeprrafopredeter"/>
    <w:uiPriority w:val="99"/>
    <w:unhideWhenUsed/>
    <w:rsid w:val="00DE7A32"/>
    <w:rPr>
      <w:color w:val="0563C1" w:themeColor="hyperlink"/>
      <w:u w:val="single"/>
    </w:rPr>
  </w:style>
  <w:style w:type="character" w:customStyle="1" w:styleId="SinespaciadoCar">
    <w:name w:val="Sin espaciado Car"/>
    <w:aliases w:val="Francesa Car"/>
    <w:link w:val="Sinespaciado"/>
    <w:uiPriority w:val="1"/>
    <w:locked/>
    <w:rsid w:val="00DE7A32"/>
  </w:style>
  <w:style w:type="paragraph" w:customStyle="1" w:styleId="Cuerpo">
    <w:name w:val="Cuerpo"/>
    <w:rsid w:val="00CC3AC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Ttulo2Car">
    <w:name w:val="Título 2 Car"/>
    <w:basedOn w:val="Fuentedeprrafopredeter"/>
    <w:link w:val="Ttulo2"/>
    <w:uiPriority w:val="9"/>
    <w:semiHidden/>
    <w:rsid w:val="000A17C5"/>
    <w:rPr>
      <w:rFonts w:ascii="Palatino Linotype" w:eastAsiaTheme="majorEastAsia" w:hAnsi="Palatino Linotype" w:cstheme="majorBidi"/>
      <w:color w:val="000000" w:themeColor="text1"/>
      <w:sz w:val="24"/>
      <w:szCs w:val="26"/>
    </w:rPr>
  </w:style>
  <w:style w:type="character" w:customStyle="1" w:styleId="Ttulo3Car">
    <w:name w:val="Título 3 Car"/>
    <w:basedOn w:val="Fuentedeprrafopredeter"/>
    <w:link w:val="Ttulo3"/>
    <w:uiPriority w:val="9"/>
    <w:semiHidden/>
    <w:rsid w:val="003855C9"/>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38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
    <w:name w:val="j"/>
    <w:basedOn w:val="Normal"/>
    <w:rsid w:val="003855C9"/>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3855C9"/>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normal1">
    <w:name w:val="Plain Table 1"/>
    <w:basedOn w:val="Tablanormal"/>
    <w:uiPriority w:val="41"/>
    <w:rsid w:val="003855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3855C9"/>
  </w:style>
  <w:style w:type="paragraph" w:styleId="TDC2">
    <w:name w:val="toc 2"/>
    <w:basedOn w:val="Normal"/>
    <w:next w:val="Normal"/>
    <w:autoRedefine/>
    <w:uiPriority w:val="39"/>
    <w:unhideWhenUsed/>
    <w:rsid w:val="00A43A7A"/>
    <w:pPr>
      <w:tabs>
        <w:tab w:val="left" w:pos="660"/>
        <w:tab w:val="right" w:leader="dot" w:pos="8828"/>
      </w:tabs>
      <w:spacing w:after="100"/>
      <w:ind w:left="284"/>
    </w:pPr>
    <w:rPr>
      <w:rFonts w:ascii="Palatino Linotype" w:hAnsi="Palatino Linotype"/>
      <w:b/>
      <w:noProof/>
      <w:sz w:val="24"/>
      <w:szCs w:val="24"/>
    </w:rPr>
  </w:style>
  <w:style w:type="paragraph" w:styleId="TDC3">
    <w:name w:val="toc 3"/>
    <w:basedOn w:val="Normal"/>
    <w:next w:val="Normal"/>
    <w:autoRedefine/>
    <w:uiPriority w:val="39"/>
    <w:unhideWhenUsed/>
    <w:rsid w:val="009B3A5C"/>
    <w:pPr>
      <w:spacing w:after="100"/>
      <w:ind w:left="440"/>
    </w:pPr>
  </w:style>
  <w:style w:type="character" w:customStyle="1" w:styleId="normaltextrun">
    <w:name w:val="normaltextrun"/>
    <w:basedOn w:val="Fuentedeprrafopredeter"/>
    <w:rsid w:val="00D36317"/>
  </w:style>
  <w:style w:type="paragraph" w:customStyle="1" w:styleId="Default">
    <w:name w:val="Default"/>
    <w:rsid w:val="00B259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1698">
      <w:bodyDiv w:val="1"/>
      <w:marLeft w:val="0"/>
      <w:marRight w:val="0"/>
      <w:marTop w:val="0"/>
      <w:marBottom w:val="0"/>
      <w:divBdr>
        <w:top w:val="none" w:sz="0" w:space="0" w:color="auto"/>
        <w:left w:val="none" w:sz="0" w:space="0" w:color="auto"/>
        <w:bottom w:val="none" w:sz="0" w:space="0" w:color="auto"/>
        <w:right w:val="none" w:sz="0" w:space="0" w:color="auto"/>
      </w:divBdr>
    </w:div>
    <w:div w:id="4943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Derechos_civiles_y_pol%C3%ADtic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23672-6EB6-4F14-9580-4A3049D39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6498</Words>
  <Characters>35740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cp:lastPrinted>2019-03-05T18:52:00Z</cp:lastPrinted>
  <dcterms:created xsi:type="dcterms:W3CDTF">2019-03-13T23:53:00Z</dcterms:created>
  <dcterms:modified xsi:type="dcterms:W3CDTF">2019-03-13T23:53:00Z</dcterms:modified>
</cp:coreProperties>
</file>